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FC36F" w14:textId="77777777" w:rsidR="00864F97" w:rsidRPr="007466EF" w:rsidRDefault="00864F97" w:rsidP="00864F97">
      <w:pPr>
        <w:pStyle w:val="Naslov"/>
        <w:jc w:val="left"/>
        <w:rPr>
          <w:szCs w:val="28"/>
        </w:rPr>
      </w:pPr>
      <w:r w:rsidRPr="007466EF">
        <w:rPr>
          <w:szCs w:val="28"/>
        </w:rPr>
        <w:t>Državni proračun Republike Hrvatske</w:t>
      </w:r>
    </w:p>
    <w:p w14:paraId="1C594FDE" w14:textId="77777777" w:rsidR="00864F97" w:rsidRPr="007466EF" w:rsidRDefault="00864F97" w:rsidP="00864F97">
      <w:pPr>
        <w:pStyle w:val="Naslov"/>
        <w:jc w:val="left"/>
        <w:rPr>
          <w:szCs w:val="28"/>
        </w:rPr>
      </w:pPr>
      <w:r w:rsidRPr="007466EF">
        <w:rPr>
          <w:szCs w:val="28"/>
        </w:rPr>
        <w:t xml:space="preserve">Katančićeva 5 </w:t>
      </w:r>
    </w:p>
    <w:p w14:paraId="2959C99F" w14:textId="77777777" w:rsidR="00864F97" w:rsidRPr="007466EF" w:rsidRDefault="00864F97" w:rsidP="00864F97">
      <w:pPr>
        <w:pStyle w:val="Naslov"/>
        <w:jc w:val="left"/>
        <w:rPr>
          <w:szCs w:val="28"/>
        </w:rPr>
      </w:pPr>
      <w:r w:rsidRPr="007466EF">
        <w:rPr>
          <w:szCs w:val="28"/>
        </w:rPr>
        <w:t>10000 Zagreb</w:t>
      </w:r>
    </w:p>
    <w:p w14:paraId="7498A7A9" w14:textId="77777777" w:rsidR="00864F97" w:rsidRPr="007466EF" w:rsidRDefault="00864F97" w:rsidP="00864F97">
      <w:pPr>
        <w:pStyle w:val="Naslov"/>
        <w:jc w:val="left"/>
        <w:rPr>
          <w:szCs w:val="28"/>
        </w:rPr>
      </w:pPr>
      <w:r w:rsidRPr="007466EF">
        <w:rPr>
          <w:szCs w:val="28"/>
        </w:rPr>
        <w:t xml:space="preserve">Žiro račun: </w:t>
      </w:r>
      <w:r w:rsidRPr="007466EF">
        <w:rPr>
          <w:rStyle w:val="Naglaeno"/>
        </w:rPr>
        <w:t>HR1210010051863000160</w:t>
      </w:r>
    </w:p>
    <w:p w14:paraId="1F64E280" w14:textId="77777777" w:rsidR="00864F97" w:rsidRPr="007466EF" w:rsidRDefault="00864F97" w:rsidP="00864F97">
      <w:pPr>
        <w:pStyle w:val="Naslov"/>
      </w:pPr>
    </w:p>
    <w:p w14:paraId="7C5215BF" w14:textId="77777777" w:rsidR="00864F97" w:rsidRPr="007466EF" w:rsidRDefault="00864F97" w:rsidP="00864F97">
      <w:pPr>
        <w:pStyle w:val="Naslov"/>
        <w:ind w:left="567" w:right="567"/>
        <w:outlineLvl w:val="0"/>
      </w:pPr>
      <w:r w:rsidRPr="007466EF">
        <w:t xml:space="preserve">BILJEŠKE UZ FINANCIJSKE IZVJEŠTAJE ZA RAZDOBLJE </w:t>
      </w:r>
    </w:p>
    <w:p w14:paraId="74194B00" w14:textId="77777777" w:rsidR="00864F97" w:rsidRPr="007466EF" w:rsidRDefault="00864F97" w:rsidP="00864F97">
      <w:pPr>
        <w:pStyle w:val="Naslov"/>
        <w:ind w:left="567" w:right="567"/>
        <w:outlineLvl w:val="0"/>
      </w:pPr>
      <w:r w:rsidRPr="007466EF">
        <w:t>1. SIJEČNJA – 31. PROSINCA 2024.</w:t>
      </w:r>
    </w:p>
    <w:p w14:paraId="095F40B4" w14:textId="77777777" w:rsidR="00864F97" w:rsidRPr="007466EF" w:rsidRDefault="00864F97" w:rsidP="00864F97">
      <w:pPr>
        <w:rPr>
          <w:b/>
          <w:bCs/>
        </w:rPr>
      </w:pPr>
    </w:p>
    <w:p w14:paraId="2641FD0E" w14:textId="77777777" w:rsidR="00864F97" w:rsidRPr="007466EF" w:rsidRDefault="00864F97" w:rsidP="00864F97">
      <w:pPr>
        <w:pStyle w:val="Naslov"/>
      </w:pPr>
      <w:r w:rsidRPr="007466EF">
        <w:t>Zakonski okvir</w:t>
      </w:r>
    </w:p>
    <w:p w14:paraId="4C95B663" w14:textId="77777777" w:rsidR="00864F97" w:rsidRPr="007466EF" w:rsidRDefault="00864F97" w:rsidP="00864F97"/>
    <w:p w14:paraId="2682C590" w14:textId="6A123583" w:rsidR="00864F97" w:rsidRPr="007466EF" w:rsidRDefault="00864F97" w:rsidP="00864F97">
      <w:pPr>
        <w:numPr>
          <w:ilvl w:val="0"/>
          <w:numId w:val="1"/>
        </w:numPr>
        <w:jc w:val="both"/>
      </w:pPr>
      <w:r w:rsidRPr="007466EF">
        <w:t>Zakon o proračunu (Narodne novine, br. 144/21</w:t>
      </w:r>
      <w:r w:rsidR="00FC0D58" w:rsidRPr="007466EF">
        <w:t>.</w:t>
      </w:r>
      <w:r w:rsidRPr="007466EF">
        <w:t>)</w:t>
      </w:r>
    </w:p>
    <w:p w14:paraId="01E1F7BD" w14:textId="0D64B074" w:rsidR="00864F97" w:rsidRPr="007466EF" w:rsidRDefault="00864F97" w:rsidP="00864F97">
      <w:pPr>
        <w:numPr>
          <w:ilvl w:val="0"/>
          <w:numId w:val="1"/>
        </w:numPr>
        <w:jc w:val="both"/>
      </w:pPr>
      <w:bookmarkStart w:id="0" w:name="OLE_LINK3"/>
      <w:r w:rsidRPr="007466EF">
        <w:t>Zakon o izvršavanju Državnog proračuna Republike Hrvatske za 2024. godinu (Narodne novine, br.</w:t>
      </w:r>
      <w:bookmarkEnd w:id="0"/>
      <w:r w:rsidRPr="007466EF">
        <w:t xml:space="preserve"> 149/23</w:t>
      </w:r>
      <w:r w:rsidR="00FC0D58" w:rsidRPr="007466EF">
        <w:t>.</w:t>
      </w:r>
      <w:r w:rsidRPr="007466EF">
        <w:t xml:space="preserve"> i 125/24</w:t>
      </w:r>
      <w:r w:rsidR="00FC0D58" w:rsidRPr="007466EF">
        <w:t>.</w:t>
      </w:r>
      <w:r w:rsidRPr="007466EF">
        <w:t>)</w:t>
      </w:r>
    </w:p>
    <w:p w14:paraId="54E9B9A4" w14:textId="4281DA3F" w:rsidR="00864F97" w:rsidRPr="007466EF" w:rsidRDefault="00864F97" w:rsidP="00864F97">
      <w:pPr>
        <w:numPr>
          <w:ilvl w:val="0"/>
          <w:numId w:val="1"/>
        </w:numPr>
        <w:jc w:val="both"/>
      </w:pPr>
      <w:r w:rsidRPr="007466EF">
        <w:t>Pravilnik o proračunskom računovodstvu i računskom planu (Narodne novine, br. 124/14</w:t>
      </w:r>
      <w:r w:rsidR="00FC0D58" w:rsidRPr="007466EF">
        <w:t>.</w:t>
      </w:r>
      <w:r w:rsidRPr="007466EF">
        <w:t>, 115/15</w:t>
      </w:r>
      <w:r w:rsidR="00FC0D58" w:rsidRPr="007466EF">
        <w:t>.</w:t>
      </w:r>
      <w:r w:rsidRPr="007466EF">
        <w:t>, 87/16</w:t>
      </w:r>
      <w:r w:rsidR="00FC0D58" w:rsidRPr="007466EF">
        <w:t>.</w:t>
      </w:r>
      <w:r w:rsidRPr="007466EF">
        <w:t>, 3/18</w:t>
      </w:r>
      <w:r w:rsidR="00FC0D58" w:rsidRPr="007466EF">
        <w:t>.</w:t>
      </w:r>
      <w:r w:rsidRPr="007466EF">
        <w:t>, 126/19</w:t>
      </w:r>
      <w:r w:rsidR="00FC0D58" w:rsidRPr="007466EF">
        <w:t>.</w:t>
      </w:r>
      <w:r w:rsidRPr="007466EF">
        <w:t xml:space="preserve"> i 108/20</w:t>
      </w:r>
      <w:r w:rsidR="00FC0D58" w:rsidRPr="007466EF">
        <w:t>.</w:t>
      </w:r>
      <w:r w:rsidRPr="007466EF">
        <w:t>)</w:t>
      </w:r>
    </w:p>
    <w:p w14:paraId="2583BA53" w14:textId="0A9E887E" w:rsidR="00864F97" w:rsidRPr="007466EF" w:rsidRDefault="00864F97" w:rsidP="00864F97">
      <w:pPr>
        <w:numPr>
          <w:ilvl w:val="0"/>
          <w:numId w:val="1"/>
        </w:numPr>
        <w:jc w:val="both"/>
      </w:pPr>
      <w:r w:rsidRPr="007466EF">
        <w:t>Pravilnik o financijskom izvještavanju u proračunskom računovodstvu (Narodne novine, br. 37/22</w:t>
      </w:r>
      <w:r w:rsidR="00FC0D58" w:rsidRPr="007466EF">
        <w:t>.</w:t>
      </w:r>
      <w:r w:rsidRPr="007466EF">
        <w:t>)</w:t>
      </w:r>
    </w:p>
    <w:p w14:paraId="498FC24A" w14:textId="67D22B37" w:rsidR="00864F97" w:rsidRPr="007466EF" w:rsidRDefault="00864F97" w:rsidP="00864F97">
      <w:pPr>
        <w:numPr>
          <w:ilvl w:val="0"/>
          <w:numId w:val="1"/>
        </w:numPr>
        <w:jc w:val="both"/>
      </w:pPr>
      <w:r w:rsidRPr="007466EF">
        <w:t>Pravilnik o proračunskim klasifikacijama (Narodne novine, br. 6/10</w:t>
      </w:r>
      <w:r w:rsidR="00FC0D58" w:rsidRPr="007466EF">
        <w:t>.</w:t>
      </w:r>
      <w:r w:rsidRPr="007466EF">
        <w:t>, 120/13</w:t>
      </w:r>
      <w:r w:rsidR="00FC0D58" w:rsidRPr="007466EF">
        <w:t>.</w:t>
      </w:r>
      <w:r w:rsidRPr="007466EF">
        <w:t xml:space="preserve"> i 1/20</w:t>
      </w:r>
      <w:r w:rsidR="00FC0D58" w:rsidRPr="007466EF">
        <w:t>.</w:t>
      </w:r>
      <w:r w:rsidRPr="007466EF">
        <w:t xml:space="preserve">) </w:t>
      </w:r>
    </w:p>
    <w:p w14:paraId="2B1D7D4E" w14:textId="77777777" w:rsidR="00864F97" w:rsidRPr="007466EF" w:rsidRDefault="00864F97" w:rsidP="00864F97">
      <w:pPr>
        <w:rPr>
          <w:b/>
          <w:bCs/>
          <w:sz w:val="28"/>
        </w:rPr>
      </w:pPr>
    </w:p>
    <w:p w14:paraId="255CECCF" w14:textId="77777777" w:rsidR="00864F97" w:rsidRPr="007466EF" w:rsidRDefault="00864F97" w:rsidP="00864F97">
      <w:pPr>
        <w:pStyle w:val="Naslov1"/>
      </w:pPr>
      <w:r w:rsidRPr="007466EF">
        <w:t>BILJEŠKE UZ IZVJEŠTAJ O PRIHODIMA I RASHODIMA, PRIMICIMA I IZDACIMA</w:t>
      </w:r>
    </w:p>
    <w:p w14:paraId="78F58202" w14:textId="77777777" w:rsidR="00864F97" w:rsidRPr="007466EF" w:rsidRDefault="00864F97" w:rsidP="00864F97">
      <w:pPr>
        <w:rPr>
          <w:b/>
          <w:bCs/>
        </w:rPr>
      </w:pPr>
    </w:p>
    <w:p w14:paraId="7D898B7F" w14:textId="77777777" w:rsidR="00864F97" w:rsidRPr="007466EF" w:rsidRDefault="00864F97" w:rsidP="00864F97">
      <w:pPr>
        <w:pStyle w:val="Naslov"/>
        <w:rPr>
          <w:b w:val="0"/>
          <w:bCs w:val="0"/>
        </w:rPr>
      </w:pPr>
      <w:r w:rsidRPr="007466EF">
        <w:rPr>
          <w:b w:val="0"/>
          <w:bCs w:val="0"/>
        </w:rPr>
        <w:t xml:space="preserve">Bilješka 1. </w:t>
      </w:r>
    </w:p>
    <w:p w14:paraId="07C66F26" w14:textId="50542259" w:rsidR="00864F97" w:rsidRPr="007466EF" w:rsidRDefault="00864F97" w:rsidP="00864F97">
      <w:pPr>
        <w:jc w:val="both"/>
        <w:rPr>
          <w:shd w:val="clear" w:color="auto" w:fill="FFFFFF"/>
        </w:rPr>
      </w:pPr>
      <w:r w:rsidRPr="007466EF">
        <w:t>Izvještaj o prihodima i rashodima, primicima i izdacima sastavljen je za razdoblje 1. siječ</w:t>
      </w:r>
      <w:r w:rsidR="001F1B16" w:rsidRPr="007466EF">
        <w:t>nja do 31. prosinca 2024.</w:t>
      </w:r>
      <w:r w:rsidRPr="007466EF">
        <w:t xml:space="preserve"> i uključuje prihode i primitke, rashode i izdatke Državnog proračuna odnosno poslovne događaje glave 06 Ministarstva financija – ostali izdaci države evidentirane u Glavnoj knjizi državnog proračuna.</w:t>
      </w:r>
      <w:r w:rsidRPr="007466EF">
        <w:rPr>
          <w:shd w:val="clear" w:color="auto" w:fill="FFFFFF"/>
        </w:rPr>
        <w:t xml:space="preserve"> U ovom izvještaju ne iskazuju se prihodi i rashodi, primici i izdaci proračunskih korisnika po prirodnoj vrsti troška jer su oni na taj način iskazani u glavnim knjigama proračunskih korisnika i njihovim financijskim izvještajima. U ovom izvještaju iskazuju se prijenosi proračunskim korisnicima za financiranje njihove redovne djelatnosti koji se kod izrade konsolidiranog financijskog izvještaja državnog proračuna eliminiraju s obzirom da se radi o međusobnim transakcijama između Državnog proračuna i proračunskih korisnika državnog proračuna.</w:t>
      </w:r>
    </w:p>
    <w:p w14:paraId="62A2CA7C" w14:textId="77777777" w:rsidR="00864F97" w:rsidRPr="007466EF" w:rsidRDefault="00864F97" w:rsidP="00864F97">
      <w:pPr>
        <w:pStyle w:val="Tijeloteksta"/>
      </w:pPr>
    </w:p>
    <w:p w14:paraId="1A3EF468" w14:textId="11A4BCF8" w:rsidR="00864F97" w:rsidRPr="007466EF" w:rsidRDefault="00864F97" w:rsidP="00864F97">
      <w:pPr>
        <w:pStyle w:val="Tijeloteksta"/>
      </w:pPr>
      <w:r w:rsidRPr="007466EF">
        <w:t xml:space="preserve">Podaci za popunjavanje financijskih izvještaja </w:t>
      </w:r>
      <w:r w:rsidR="00A75440" w:rsidRPr="007466EF">
        <w:t>sadržani su u Glavnoj knjizi državnog</w:t>
      </w:r>
      <w:r w:rsidRPr="007466EF">
        <w:t xml:space="preserve"> proračuna koju informatički podržava SAP sustav. </w:t>
      </w:r>
    </w:p>
    <w:p w14:paraId="7C32E8D5" w14:textId="77777777" w:rsidR="00864F97" w:rsidRPr="007466EF" w:rsidRDefault="00864F97" w:rsidP="00864F97">
      <w:pPr>
        <w:pStyle w:val="Tijeloteksta"/>
      </w:pPr>
    </w:p>
    <w:p w14:paraId="481B3647" w14:textId="77777777" w:rsidR="00864F97" w:rsidRPr="007466EF" w:rsidRDefault="00864F97" w:rsidP="00864F97">
      <w:pPr>
        <w:pStyle w:val="Tijeloteksta"/>
      </w:pPr>
      <w:r w:rsidRPr="007466EF">
        <w:t xml:space="preserve">Poslovanje Državnog proračuna obavlja se preko jedinstvenog računa riznice u HNB broj: HR1210010051863000160 za poslovanje u službenoj valuti Republike Hrvatske i deviznih računa u poslovnim bankama. </w:t>
      </w:r>
    </w:p>
    <w:p w14:paraId="56FE2838" w14:textId="77777777" w:rsidR="00864F97" w:rsidRPr="007466EF" w:rsidRDefault="00864F97" w:rsidP="00864F97">
      <w:pPr>
        <w:pStyle w:val="Tijeloteksta"/>
      </w:pPr>
    </w:p>
    <w:p w14:paraId="6F59D1CB" w14:textId="77777777" w:rsidR="00864F97" w:rsidRPr="007466EF" w:rsidRDefault="00864F97" w:rsidP="00864F97">
      <w:pPr>
        <w:pStyle w:val="Tijeloteksta"/>
      </w:pPr>
    </w:p>
    <w:p w14:paraId="63D256B3" w14:textId="77777777" w:rsidR="00864F97" w:rsidRPr="007466EF" w:rsidRDefault="00864F97" w:rsidP="00864F97">
      <w:pPr>
        <w:pStyle w:val="Naslov"/>
        <w:rPr>
          <w:b w:val="0"/>
          <w:bCs w:val="0"/>
        </w:rPr>
      </w:pPr>
      <w:r w:rsidRPr="007466EF">
        <w:rPr>
          <w:b w:val="0"/>
          <w:bCs w:val="0"/>
        </w:rPr>
        <w:t>Bilješka 2.</w:t>
      </w:r>
    </w:p>
    <w:p w14:paraId="1754F7E8" w14:textId="77777777" w:rsidR="00864F97" w:rsidRPr="007466EF" w:rsidRDefault="00864F97" w:rsidP="00864F97">
      <w:pPr>
        <w:pStyle w:val="Tijeloteksta"/>
        <w:jc w:val="left"/>
      </w:pPr>
    </w:p>
    <w:p w14:paraId="31B741D2" w14:textId="77777777" w:rsidR="00864F97" w:rsidRPr="007466EF" w:rsidRDefault="00864F97" w:rsidP="00864F97">
      <w:pPr>
        <w:pStyle w:val="Tijeloteksta"/>
        <w:jc w:val="left"/>
      </w:pPr>
      <w:r w:rsidRPr="007466EF">
        <w:t>U obrascu PR-RAS iskazani su:</w:t>
      </w:r>
    </w:p>
    <w:tbl>
      <w:tblPr>
        <w:tblW w:w="9243"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088"/>
        <w:gridCol w:w="2155"/>
      </w:tblGrid>
      <w:tr w:rsidR="00864F97" w:rsidRPr="007466EF" w14:paraId="7339C224" w14:textId="77777777" w:rsidTr="00C45DDE">
        <w:trPr>
          <w:trHeight w:val="340"/>
        </w:trPr>
        <w:tc>
          <w:tcPr>
            <w:tcW w:w="7088" w:type="dxa"/>
            <w:shd w:val="clear" w:color="auto" w:fill="auto"/>
            <w:vAlign w:val="center"/>
          </w:tcPr>
          <w:p w14:paraId="5E64D427" w14:textId="77777777" w:rsidR="00864F97" w:rsidRPr="007466EF" w:rsidRDefault="00864F97" w:rsidP="00864F97">
            <w:pPr>
              <w:pStyle w:val="Tijeloteksta"/>
              <w:numPr>
                <w:ilvl w:val="0"/>
                <w:numId w:val="2"/>
              </w:numPr>
              <w:ind w:left="459"/>
              <w:jc w:val="left"/>
            </w:pPr>
            <w:bookmarkStart w:id="1" w:name="_Hlk382850900"/>
            <w:r w:rsidRPr="007466EF">
              <w:t>ukupni prihodi poslovanja (Šifra 6)</w:t>
            </w:r>
          </w:p>
        </w:tc>
        <w:tc>
          <w:tcPr>
            <w:tcW w:w="2155" w:type="dxa"/>
            <w:shd w:val="clear" w:color="auto" w:fill="auto"/>
            <w:vAlign w:val="center"/>
          </w:tcPr>
          <w:p w14:paraId="5D2BC537" w14:textId="3E0263CE" w:rsidR="00864F97" w:rsidRPr="007466EF" w:rsidRDefault="00C45DDE" w:rsidP="00864F97">
            <w:pPr>
              <w:pStyle w:val="Tijeloteksta"/>
              <w:jc w:val="right"/>
            </w:pPr>
            <w:r w:rsidRPr="007466EF">
              <w:t>18.891.801.768,41</w:t>
            </w:r>
          </w:p>
        </w:tc>
      </w:tr>
      <w:tr w:rsidR="00864F97" w:rsidRPr="007466EF" w14:paraId="7A097C3C" w14:textId="77777777" w:rsidTr="00C45DDE">
        <w:trPr>
          <w:trHeight w:val="340"/>
        </w:trPr>
        <w:tc>
          <w:tcPr>
            <w:tcW w:w="7088" w:type="dxa"/>
            <w:shd w:val="clear" w:color="auto" w:fill="auto"/>
            <w:vAlign w:val="center"/>
          </w:tcPr>
          <w:p w14:paraId="09D9E641" w14:textId="77777777" w:rsidR="00864F97" w:rsidRPr="007466EF" w:rsidRDefault="00864F97" w:rsidP="00864F97">
            <w:pPr>
              <w:pStyle w:val="Tijeloteksta"/>
              <w:numPr>
                <w:ilvl w:val="0"/>
                <w:numId w:val="2"/>
              </w:numPr>
              <w:ind w:left="459"/>
              <w:jc w:val="left"/>
            </w:pPr>
            <w:r w:rsidRPr="007466EF">
              <w:t xml:space="preserve">ukupni rashodi poslovanja (Šifra 3) </w:t>
            </w:r>
          </w:p>
        </w:tc>
        <w:tc>
          <w:tcPr>
            <w:tcW w:w="2155" w:type="dxa"/>
            <w:shd w:val="clear" w:color="auto" w:fill="auto"/>
            <w:vAlign w:val="center"/>
          </w:tcPr>
          <w:p w14:paraId="0762F2CE" w14:textId="4D4A0F95" w:rsidR="00864F97" w:rsidRPr="007466EF" w:rsidRDefault="0072041E" w:rsidP="00864F97">
            <w:pPr>
              <w:pStyle w:val="Tijeloteksta"/>
              <w:jc w:val="right"/>
            </w:pPr>
            <w:r w:rsidRPr="007466EF">
              <w:t>21.458.256.544,63</w:t>
            </w:r>
          </w:p>
        </w:tc>
      </w:tr>
      <w:tr w:rsidR="00864F97" w:rsidRPr="007466EF" w14:paraId="5421B8D4" w14:textId="77777777" w:rsidTr="00C45DDE">
        <w:trPr>
          <w:trHeight w:val="340"/>
        </w:trPr>
        <w:tc>
          <w:tcPr>
            <w:tcW w:w="7088" w:type="dxa"/>
            <w:shd w:val="clear" w:color="auto" w:fill="auto"/>
            <w:vAlign w:val="center"/>
          </w:tcPr>
          <w:p w14:paraId="58EFFADD" w14:textId="77777777" w:rsidR="00864F97" w:rsidRPr="007466EF" w:rsidRDefault="00864F97" w:rsidP="00864F97">
            <w:pPr>
              <w:pStyle w:val="Tijeloteksta"/>
              <w:ind w:firstLine="1026"/>
              <w:jc w:val="left"/>
              <w:rPr>
                <w:b/>
                <w:bCs/>
                <w:i/>
                <w:iCs/>
              </w:rPr>
            </w:pPr>
            <w:r w:rsidRPr="007466EF">
              <w:rPr>
                <w:b/>
                <w:bCs/>
                <w:i/>
                <w:iCs/>
              </w:rPr>
              <w:lastRenderedPageBreak/>
              <w:t>manjak prihoda poslovanja (</w:t>
            </w:r>
            <w:r w:rsidRPr="007466EF">
              <w:t>Šifra Y001</w:t>
            </w:r>
            <w:r w:rsidRPr="007466EF">
              <w:rPr>
                <w:b/>
                <w:bCs/>
                <w:i/>
                <w:iCs/>
              </w:rPr>
              <w:t>)</w:t>
            </w:r>
          </w:p>
        </w:tc>
        <w:tc>
          <w:tcPr>
            <w:tcW w:w="2155" w:type="dxa"/>
            <w:shd w:val="clear" w:color="auto" w:fill="auto"/>
            <w:vAlign w:val="center"/>
          </w:tcPr>
          <w:p w14:paraId="0977CDE0" w14:textId="725256B8" w:rsidR="00864F97" w:rsidRPr="007466EF" w:rsidRDefault="0072041E" w:rsidP="00864F97">
            <w:pPr>
              <w:pStyle w:val="Tijeloteksta"/>
              <w:jc w:val="right"/>
              <w:rPr>
                <w:b/>
                <w:bCs/>
                <w:i/>
                <w:iCs/>
              </w:rPr>
            </w:pPr>
            <w:r w:rsidRPr="007466EF">
              <w:rPr>
                <w:b/>
                <w:bCs/>
                <w:i/>
                <w:iCs/>
              </w:rPr>
              <w:t>2.566.454.776,22</w:t>
            </w:r>
          </w:p>
        </w:tc>
      </w:tr>
      <w:tr w:rsidR="00864F97" w:rsidRPr="007466EF" w14:paraId="2CDD4346" w14:textId="77777777" w:rsidTr="00C45DDE">
        <w:trPr>
          <w:trHeight w:val="340"/>
        </w:trPr>
        <w:tc>
          <w:tcPr>
            <w:tcW w:w="7088" w:type="dxa"/>
            <w:shd w:val="clear" w:color="auto" w:fill="auto"/>
            <w:vAlign w:val="center"/>
          </w:tcPr>
          <w:p w14:paraId="2CBC8E89" w14:textId="77777777" w:rsidR="00864F97" w:rsidRPr="007466EF" w:rsidRDefault="00864F97" w:rsidP="00864F97">
            <w:pPr>
              <w:pStyle w:val="Tijeloteksta"/>
              <w:numPr>
                <w:ilvl w:val="0"/>
                <w:numId w:val="2"/>
              </w:numPr>
              <w:ind w:left="459"/>
              <w:jc w:val="left"/>
            </w:pPr>
            <w:r w:rsidRPr="007466EF">
              <w:t>ukupni prihodi od prodaje nefinancijske imovine (Šifra 7)</w:t>
            </w:r>
          </w:p>
        </w:tc>
        <w:tc>
          <w:tcPr>
            <w:tcW w:w="2155" w:type="dxa"/>
            <w:shd w:val="clear" w:color="auto" w:fill="auto"/>
            <w:vAlign w:val="center"/>
          </w:tcPr>
          <w:p w14:paraId="58B4D85D" w14:textId="4DE556E4" w:rsidR="00864F97" w:rsidRPr="007466EF" w:rsidRDefault="00C45DDE" w:rsidP="00864F97">
            <w:pPr>
              <w:pStyle w:val="Tijeloteksta"/>
              <w:jc w:val="right"/>
            </w:pPr>
            <w:r w:rsidRPr="007466EF">
              <w:t>134.684.569,55</w:t>
            </w:r>
          </w:p>
        </w:tc>
      </w:tr>
      <w:tr w:rsidR="00864F97" w:rsidRPr="007466EF" w14:paraId="7133682F" w14:textId="77777777" w:rsidTr="00C45DDE">
        <w:trPr>
          <w:trHeight w:val="340"/>
        </w:trPr>
        <w:tc>
          <w:tcPr>
            <w:tcW w:w="7088" w:type="dxa"/>
            <w:shd w:val="clear" w:color="auto" w:fill="auto"/>
            <w:vAlign w:val="center"/>
          </w:tcPr>
          <w:p w14:paraId="3F6AA5F4" w14:textId="77777777" w:rsidR="00864F97" w:rsidRPr="007466EF" w:rsidRDefault="00864F97" w:rsidP="00C45DDE">
            <w:pPr>
              <w:pStyle w:val="Tijeloteksta"/>
              <w:numPr>
                <w:ilvl w:val="0"/>
                <w:numId w:val="2"/>
              </w:numPr>
              <w:ind w:left="484" w:hanging="425"/>
              <w:jc w:val="left"/>
            </w:pPr>
            <w:r w:rsidRPr="007466EF">
              <w:t>ukupni rashodi za nabavu nefinancijske imovine (Šifra 4)</w:t>
            </w:r>
          </w:p>
        </w:tc>
        <w:tc>
          <w:tcPr>
            <w:tcW w:w="2155" w:type="dxa"/>
            <w:shd w:val="clear" w:color="auto" w:fill="auto"/>
            <w:vAlign w:val="center"/>
          </w:tcPr>
          <w:p w14:paraId="796D4D17" w14:textId="481AA905" w:rsidR="00864F97" w:rsidRPr="007466EF" w:rsidRDefault="00C45DDE" w:rsidP="00864F97">
            <w:pPr>
              <w:pStyle w:val="Tijeloteksta"/>
              <w:jc w:val="right"/>
            </w:pPr>
            <w:r w:rsidRPr="007466EF">
              <w:t>8.496.870,37</w:t>
            </w:r>
          </w:p>
        </w:tc>
      </w:tr>
      <w:tr w:rsidR="00864F97" w:rsidRPr="007466EF" w14:paraId="5B38A7EB" w14:textId="77777777" w:rsidTr="00C45DDE">
        <w:trPr>
          <w:trHeight w:val="340"/>
        </w:trPr>
        <w:tc>
          <w:tcPr>
            <w:tcW w:w="7088" w:type="dxa"/>
            <w:shd w:val="clear" w:color="auto" w:fill="auto"/>
            <w:vAlign w:val="center"/>
          </w:tcPr>
          <w:p w14:paraId="5C30C497" w14:textId="77777777" w:rsidR="00864F97" w:rsidRPr="007466EF" w:rsidRDefault="00864F97" w:rsidP="00864F97">
            <w:pPr>
              <w:pStyle w:val="Tijeloteksta"/>
              <w:ind w:firstLine="1026"/>
              <w:jc w:val="left"/>
              <w:rPr>
                <w:b/>
                <w:bCs/>
                <w:i/>
                <w:iCs/>
              </w:rPr>
            </w:pPr>
            <w:r w:rsidRPr="007466EF">
              <w:rPr>
                <w:b/>
                <w:bCs/>
                <w:i/>
                <w:iCs/>
              </w:rPr>
              <w:t>višak prihoda od nefinancijske imovine (Šifra X002)</w:t>
            </w:r>
          </w:p>
        </w:tc>
        <w:tc>
          <w:tcPr>
            <w:tcW w:w="2155" w:type="dxa"/>
            <w:shd w:val="clear" w:color="auto" w:fill="auto"/>
            <w:vAlign w:val="center"/>
          </w:tcPr>
          <w:p w14:paraId="55F2B5E3" w14:textId="208260F7" w:rsidR="00864F97" w:rsidRPr="007466EF" w:rsidRDefault="00C45DDE" w:rsidP="00864F97">
            <w:pPr>
              <w:pStyle w:val="Tijeloteksta"/>
              <w:jc w:val="right"/>
              <w:rPr>
                <w:b/>
                <w:bCs/>
                <w:i/>
                <w:iCs/>
              </w:rPr>
            </w:pPr>
            <w:r w:rsidRPr="007466EF">
              <w:rPr>
                <w:b/>
                <w:bCs/>
                <w:i/>
                <w:iCs/>
              </w:rPr>
              <w:t>126.187.699,18</w:t>
            </w:r>
          </w:p>
        </w:tc>
      </w:tr>
      <w:tr w:rsidR="00864F97" w:rsidRPr="007466EF" w14:paraId="4B4F4F71" w14:textId="77777777" w:rsidTr="00C45DDE">
        <w:trPr>
          <w:trHeight w:val="340"/>
        </w:trPr>
        <w:tc>
          <w:tcPr>
            <w:tcW w:w="7088" w:type="dxa"/>
            <w:shd w:val="clear" w:color="auto" w:fill="auto"/>
            <w:vAlign w:val="center"/>
          </w:tcPr>
          <w:p w14:paraId="278ED623" w14:textId="77777777" w:rsidR="00864F97" w:rsidRPr="007466EF" w:rsidRDefault="00864F97" w:rsidP="00C45DDE">
            <w:pPr>
              <w:pStyle w:val="Tijeloteksta"/>
              <w:numPr>
                <w:ilvl w:val="0"/>
                <w:numId w:val="2"/>
              </w:numPr>
              <w:ind w:left="484" w:hanging="283"/>
              <w:jc w:val="left"/>
            </w:pPr>
            <w:r w:rsidRPr="007466EF">
              <w:t>ukupni primici od financijske imovine i zaduživanja (Šifra 8)</w:t>
            </w:r>
          </w:p>
        </w:tc>
        <w:tc>
          <w:tcPr>
            <w:tcW w:w="2155" w:type="dxa"/>
            <w:shd w:val="clear" w:color="auto" w:fill="auto"/>
            <w:vAlign w:val="center"/>
          </w:tcPr>
          <w:p w14:paraId="2DB9C88B" w14:textId="6E051DEC" w:rsidR="00864F97" w:rsidRPr="007466EF" w:rsidRDefault="00C45DDE" w:rsidP="00864F97">
            <w:pPr>
              <w:pStyle w:val="Tijeloteksta"/>
              <w:jc w:val="right"/>
            </w:pPr>
            <w:r w:rsidRPr="007466EF">
              <w:t>5.579.148.494,14</w:t>
            </w:r>
          </w:p>
        </w:tc>
      </w:tr>
      <w:tr w:rsidR="00864F97" w:rsidRPr="007466EF" w14:paraId="4BA248A0" w14:textId="77777777" w:rsidTr="00C45DDE">
        <w:trPr>
          <w:trHeight w:val="340"/>
        </w:trPr>
        <w:tc>
          <w:tcPr>
            <w:tcW w:w="7088" w:type="dxa"/>
            <w:shd w:val="clear" w:color="auto" w:fill="auto"/>
            <w:vAlign w:val="center"/>
          </w:tcPr>
          <w:p w14:paraId="3CA77ED0" w14:textId="77777777" w:rsidR="00864F97" w:rsidRPr="007466EF" w:rsidRDefault="00864F97" w:rsidP="00C45DDE">
            <w:pPr>
              <w:pStyle w:val="Tijeloteksta"/>
              <w:numPr>
                <w:ilvl w:val="0"/>
                <w:numId w:val="2"/>
              </w:numPr>
              <w:ind w:left="484" w:hanging="283"/>
              <w:jc w:val="left"/>
            </w:pPr>
            <w:r w:rsidRPr="007466EF">
              <w:t>ukupni izdaci za financijsku imovinu i otplate zajmova (Šifra 5)</w:t>
            </w:r>
          </w:p>
        </w:tc>
        <w:tc>
          <w:tcPr>
            <w:tcW w:w="2155" w:type="dxa"/>
            <w:shd w:val="clear" w:color="auto" w:fill="auto"/>
            <w:vAlign w:val="center"/>
          </w:tcPr>
          <w:p w14:paraId="00B8C676" w14:textId="6E76AB70" w:rsidR="00864F97" w:rsidRPr="007466EF" w:rsidRDefault="00864F97" w:rsidP="00C45DDE">
            <w:pPr>
              <w:pStyle w:val="Tijeloteksta"/>
              <w:jc w:val="right"/>
            </w:pPr>
            <w:r w:rsidRPr="007466EF">
              <w:t>4.</w:t>
            </w:r>
            <w:r w:rsidR="00C45DDE" w:rsidRPr="007466EF">
              <w:t>673.287.698,23</w:t>
            </w:r>
          </w:p>
        </w:tc>
      </w:tr>
      <w:tr w:rsidR="00864F97" w:rsidRPr="007466EF" w14:paraId="25A914A6" w14:textId="77777777" w:rsidTr="00C45DDE">
        <w:trPr>
          <w:trHeight w:val="340"/>
        </w:trPr>
        <w:tc>
          <w:tcPr>
            <w:tcW w:w="7088" w:type="dxa"/>
            <w:shd w:val="clear" w:color="auto" w:fill="auto"/>
            <w:vAlign w:val="center"/>
          </w:tcPr>
          <w:p w14:paraId="2BC8FEF7" w14:textId="77777777" w:rsidR="00864F97" w:rsidRPr="007466EF" w:rsidRDefault="00864F97" w:rsidP="00864F97">
            <w:pPr>
              <w:pStyle w:val="Tijeloteksta"/>
              <w:ind w:firstLine="1026"/>
              <w:jc w:val="left"/>
              <w:rPr>
                <w:b/>
                <w:bCs/>
                <w:i/>
                <w:iCs/>
              </w:rPr>
            </w:pPr>
            <w:r w:rsidRPr="007466EF">
              <w:rPr>
                <w:b/>
                <w:bCs/>
                <w:i/>
                <w:iCs/>
              </w:rPr>
              <w:t xml:space="preserve">višak od financijske imovine (Šifra X003) </w:t>
            </w:r>
          </w:p>
        </w:tc>
        <w:tc>
          <w:tcPr>
            <w:tcW w:w="2155" w:type="dxa"/>
            <w:shd w:val="clear" w:color="auto" w:fill="auto"/>
            <w:vAlign w:val="center"/>
          </w:tcPr>
          <w:p w14:paraId="58EA0AB1" w14:textId="04600642" w:rsidR="00864F97" w:rsidRPr="007466EF" w:rsidRDefault="00C45DDE" w:rsidP="00864F97">
            <w:pPr>
              <w:pStyle w:val="Tijeloteksta"/>
              <w:jc w:val="right"/>
              <w:rPr>
                <w:b/>
                <w:bCs/>
                <w:i/>
                <w:iCs/>
              </w:rPr>
            </w:pPr>
            <w:r w:rsidRPr="007466EF">
              <w:rPr>
                <w:b/>
                <w:bCs/>
                <w:i/>
                <w:iCs/>
              </w:rPr>
              <w:t>905.860.795,91</w:t>
            </w:r>
          </w:p>
        </w:tc>
      </w:tr>
      <w:tr w:rsidR="00864F97" w:rsidRPr="007466EF" w14:paraId="3E73C863" w14:textId="77777777" w:rsidTr="00C45DDE">
        <w:trPr>
          <w:trHeight w:val="340"/>
        </w:trPr>
        <w:tc>
          <w:tcPr>
            <w:tcW w:w="7088" w:type="dxa"/>
            <w:shd w:val="clear" w:color="auto" w:fill="auto"/>
            <w:vAlign w:val="center"/>
          </w:tcPr>
          <w:p w14:paraId="6289F0CE" w14:textId="508C2A10" w:rsidR="00864F97" w:rsidRPr="007466EF" w:rsidRDefault="0072041E" w:rsidP="00864F97">
            <w:pPr>
              <w:pStyle w:val="Tijeloteksta"/>
              <w:ind w:firstLine="1026"/>
              <w:jc w:val="left"/>
              <w:rPr>
                <w:b/>
                <w:bCs/>
                <w:i/>
                <w:iCs/>
              </w:rPr>
            </w:pPr>
            <w:r w:rsidRPr="007466EF">
              <w:rPr>
                <w:b/>
                <w:bCs/>
                <w:i/>
                <w:iCs/>
              </w:rPr>
              <w:t>manjak prihoda i primitaka (Šifra Y</w:t>
            </w:r>
            <w:r w:rsidR="00864F97" w:rsidRPr="007466EF">
              <w:rPr>
                <w:b/>
                <w:bCs/>
                <w:i/>
                <w:iCs/>
              </w:rPr>
              <w:t>005)</w:t>
            </w:r>
          </w:p>
        </w:tc>
        <w:tc>
          <w:tcPr>
            <w:tcW w:w="2155" w:type="dxa"/>
            <w:shd w:val="clear" w:color="auto" w:fill="auto"/>
            <w:vAlign w:val="center"/>
          </w:tcPr>
          <w:p w14:paraId="60E7FA22" w14:textId="48A529AF" w:rsidR="00864F97" w:rsidRPr="007466EF" w:rsidRDefault="0072041E" w:rsidP="00864F97">
            <w:pPr>
              <w:pStyle w:val="Tijeloteksta"/>
              <w:jc w:val="right"/>
              <w:rPr>
                <w:b/>
                <w:bCs/>
                <w:i/>
                <w:iCs/>
              </w:rPr>
            </w:pPr>
            <w:r w:rsidRPr="007466EF">
              <w:rPr>
                <w:b/>
                <w:bCs/>
                <w:i/>
                <w:iCs/>
              </w:rPr>
              <w:t>1.534.406.281,13</w:t>
            </w:r>
          </w:p>
        </w:tc>
      </w:tr>
      <w:bookmarkEnd w:id="1"/>
    </w:tbl>
    <w:p w14:paraId="7ADB563A" w14:textId="77777777" w:rsidR="00864F97" w:rsidRPr="007466EF" w:rsidRDefault="00864F97" w:rsidP="00864F97">
      <w:pPr>
        <w:shd w:val="clear" w:color="auto" w:fill="FFFFFF"/>
        <w:rPr>
          <w:color w:val="000000"/>
        </w:rPr>
      </w:pPr>
    </w:p>
    <w:p w14:paraId="3C20E100" w14:textId="77777777" w:rsidR="0083275B" w:rsidRPr="007466EF" w:rsidRDefault="0083275B" w:rsidP="0083275B">
      <w:pPr>
        <w:spacing w:after="120"/>
        <w:jc w:val="both"/>
      </w:pPr>
      <w:r w:rsidRPr="007466EF">
        <w:t>Na ostvarenje prihoda državnog proračuna u 2024. utjecala su pozitivna makroekonomska kretnja u gospodarstvu, cjelogodišnji učinci prihodnih mjera iz 2023. te učinci mjera koje je Vlada Republike Hrvatske donijela u 2024. u okviru paketa za zaštitu kućanstava i gospodarstva od rasta cijena. Značajan učinak na prihode proračuna imala su i sredstva pomoći institucija i tijela EU. To se ponajprije odnosi na sredstva iz prethodnog, ali i novog Višegodišnjeg financijskog okvira 2021. – 2027. te iz Mehanizma za oporavak i otpornost, kojima se jača oporavak i otpornost gospodarstva. Porezne izmjene također su imale utjecaj na kretanje prihodne strane proračuna tijekom 2024.</w:t>
      </w:r>
    </w:p>
    <w:p w14:paraId="2EA44E52" w14:textId="7AD434DC" w:rsidR="0083275B" w:rsidRPr="007466EF" w:rsidRDefault="003A519C" w:rsidP="0083275B">
      <w:pPr>
        <w:spacing w:after="120"/>
        <w:jc w:val="both"/>
        <w:rPr>
          <w:bCs/>
        </w:rPr>
      </w:pPr>
      <w:r w:rsidRPr="007466EF">
        <w:rPr>
          <w:bCs/>
        </w:rPr>
        <w:t>U 2024</w:t>
      </w:r>
      <w:r w:rsidR="005B035B" w:rsidRPr="007466EF">
        <w:rPr>
          <w:bCs/>
        </w:rPr>
        <w:t>.</w:t>
      </w:r>
      <w:r w:rsidR="00864F97" w:rsidRPr="007466EF">
        <w:rPr>
          <w:bCs/>
        </w:rPr>
        <w:t xml:space="preserve"> prihodi poslovanja ostvareni su u iznosu od</w:t>
      </w:r>
      <w:r w:rsidRPr="007466EF">
        <w:rPr>
          <w:bCs/>
        </w:rPr>
        <w:t xml:space="preserve"> 18.891.801.768,41 </w:t>
      </w:r>
      <w:r w:rsidR="00864F97" w:rsidRPr="007466EF">
        <w:rPr>
          <w:bCs/>
        </w:rPr>
        <w:t xml:space="preserve">eura, odnosno </w:t>
      </w:r>
      <w:r w:rsidRPr="007466EF">
        <w:rPr>
          <w:bCs/>
        </w:rPr>
        <w:t>12</w:t>
      </w:r>
      <w:r w:rsidR="00864F97" w:rsidRPr="007466EF">
        <w:rPr>
          <w:bCs/>
        </w:rPr>
        <w:t xml:space="preserve">% više u odnosu na prethodnu godinu, dok su rashodi poslovanja ostvareni u iznosu od </w:t>
      </w:r>
      <w:r w:rsidR="0072041E" w:rsidRPr="007466EF">
        <w:rPr>
          <w:bCs/>
        </w:rPr>
        <w:t>21.458.256.544,63</w:t>
      </w:r>
      <w:r w:rsidR="00864F97" w:rsidRPr="007466EF">
        <w:rPr>
          <w:bCs/>
        </w:rPr>
        <w:t xml:space="preserve"> eura, odnosno </w:t>
      </w:r>
      <w:r w:rsidR="00194999" w:rsidRPr="007466EF">
        <w:rPr>
          <w:bCs/>
        </w:rPr>
        <w:t>18,</w:t>
      </w:r>
      <w:r w:rsidR="0072041E" w:rsidRPr="007466EF">
        <w:rPr>
          <w:bCs/>
        </w:rPr>
        <w:t>4</w:t>
      </w:r>
      <w:r w:rsidR="0083275B" w:rsidRPr="007466EF">
        <w:rPr>
          <w:bCs/>
        </w:rPr>
        <w:t>% više nego prethodne godine.</w:t>
      </w:r>
    </w:p>
    <w:p w14:paraId="3DD459E2" w14:textId="2F0B3237" w:rsidR="00864F97" w:rsidRPr="007466EF" w:rsidRDefault="00864F97" w:rsidP="0083275B">
      <w:pPr>
        <w:spacing w:after="120"/>
        <w:jc w:val="both"/>
      </w:pPr>
      <w:r w:rsidRPr="007466EF">
        <w:rPr>
          <w:bCs/>
        </w:rPr>
        <w:t xml:space="preserve">Rast ukupnih rashoda poslovanja proizašao je najvećim dijelom iz rasta rashoda za kamate za izdane trezorske zapise, </w:t>
      </w:r>
      <w:r w:rsidR="00A92415" w:rsidRPr="007466EF">
        <w:rPr>
          <w:bCs/>
        </w:rPr>
        <w:t>kamate za izdane obveznice, kamate za primljene kredite i zajmove od međunarodnih organizacija, institucija i tijela EU, subvencije trgovačkim društvima te kreditnim i ostalim financijskim institucijama</w:t>
      </w:r>
      <w:r w:rsidRPr="007466EF">
        <w:rPr>
          <w:bCs/>
        </w:rPr>
        <w:t xml:space="preserve">, rashoda za pomoći unutar općeg proračuna po protestiranim jamstvima te rashoda za prijenose proračunskim korisnicima iz nadležnog proračuna za </w:t>
      </w:r>
      <w:r w:rsidR="00A92415" w:rsidRPr="007466EF">
        <w:rPr>
          <w:bCs/>
        </w:rPr>
        <w:t>financiranje rashoda poslovanja</w:t>
      </w:r>
      <w:r w:rsidR="00194999" w:rsidRPr="007466EF">
        <w:rPr>
          <w:bCs/>
        </w:rPr>
        <w:t xml:space="preserve"> i za nabavu nefinancijske imovine</w:t>
      </w:r>
      <w:r w:rsidRPr="007466EF">
        <w:rPr>
          <w:bCs/>
        </w:rPr>
        <w:t>. Manjak prihoda poslovanja utvrđen za 20</w:t>
      </w:r>
      <w:r w:rsidR="00A92415" w:rsidRPr="007466EF">
        <w:rPr>
          <w:bCs/>
        </w:rPr>
        <w:t>24</w:t>
      </w:r>
      <w:r w:rsidR="005B035B" w:rsidRPr="007466EF">
        <w:rPr>
          <w:bCs/>
        </w:rPr>
        <w:t>.</w:t>
      </w:r>
      <w:r w:rsidRPr="007466EF">
        <w:rPr>
          <w:bCs/>
        </w:rPr>
        <w:t xml:space="preserve"> iznosi </w:t>
      </w:r>
      <w:r w:rsidR="00A92415" w:rsidRPr="007466EF">
        <w:rPr>
          <w:bCs/>
        </w:rPr>
        <w:t xml:space="preserve">2.566.454.776,22 </w:t>
      </w:r>
      <w:r w:rsidRPr="007466EF">
        <w:rPr>
          <w:bCs/>
        </w:rPr>
        <w:t>eura, dok je manjak prihoda poslovanja u 202</w:t>
      </w:r>
      <w:r w:rsidR="00A92415" w:rsidRPr="007466EF">
        <w:rPr>
          <w:bCs/>
        </w:rPr>
        <w:t>3</w:t>
      </w:r>
      <w:r w:rsidR="005B035B" w:rsidRPr="007466EF">
        <w:rPr>
          <w:bCs/>
        </w:rPr>
        <w:t xml:space="preserve">. </w:t>
      </w:r>
      <w:r w:rsidRPr="007466EF">
        <w:rPr>
          <w:bCs/>
        </w:rPr>
        <w:t xml:space="preserve">iznosio </w:t>
      </w:r>
      <w:r w:rsidR="00A92415" w:rsidRPr="007466EF">
        <w:rPr>
          <w:bCs/>
        </w:rPr>
        <w:t>1.258.716.303,24</w:t>
      </w:r>
      <w:r w:rsidRPr="007466EF">
        <w:rPr>
          <w:bCs/>
        </w:rPr>
        <w:t xml:space="preserve"> eura, odnosno u 202</w:t>
      </w:r>
      <w:r w:rsidR="00A92415" w:rsidRPr="007466EF">
        <w:rPr>
          <w:bCs/>
        </w:rPr>
        <w:t>4</w:t>
      </w:r>
      <w:r w:rsidR="005B035B" w:rsidRPr="007466EF">
        <w:rPr>
          <w:bCs/>
        </w:rPr>
        <w:t xml:space="preserve">. </w:t>
      </w:r>
      <w:r w:rsidRPr="007466EF">
        <w:rPr>
          <w:bCs/>
        </w:rPr>
        <w:t xml:space="preserve">manjak prihoda poslovanja veći je za </w:t>
      </w:r>
      <w:r w:rsidR="00A92415" w:rsidRPr="007466EF">
        <w:rPr>
          <w:bCs/>
        </w:rPr>
        <w:t>103,9</w:t>
      </w:r>
      <w:r w:rsidRPr="007466EF">
        <w:rPr>
          <w:bCs/>
        </w:rPr>
        <w:t>%</w:t>
      </w:r>
      <w:r w:rsidR="00A92415" w:rsidRPr="007466EF">
        <w:rPr>
          <w:bCs/>
        </w:rPr>
        <w:t xml:space="preserve"> u odnosu na manjak utvrđen 2023</w:t>
      </w:r>
      <w:r w:rsidRPr="007466EF">
        <w:rPr>
          <w:bCs/>
        </w:rPr>
        <w:t>. Na povećanje manjka utjecalo je povećanje prethodno navedenih ka</w:t>
      </w:r>
      <w:r w:rsidR="005B035B" w:rsidRPr="007466EF">
        <w:rPr>
          <w:bCs/>
        </w:rPr>
        <w:t>tegorija rashoda</w:t>
      </w:r>
      <w:r w:rsidR="00194999" w:rsidRPr="007466EF">
        <w:rPr>
          <w:bCs/>
        </w:rPr>
        <w:t xml:space="preserve"> te smanjenje prihod</w:t>
      </w:r>
      <w:r w:rsidR="00B22163" w:rsidRPr="007466EF">
        <w:rPr>
          <w:bCs/>
        </w:rPr>
        <w:t>a iz dobiti trgovačkih društava</w:t>
      </w:r>
      <w:r w:rsidR="00194999" w:rsidRPr="007466EF">
        <w:rPr>
          <w:bCs/>
        </w:rPr>
        <w:t>, kreditnih i ostalih financijskih institucija po posebnim p</w:t>
      </w:r>
      <w:r w:rsidR="00B22163" w:rsidRPr="007466EF">
        <w:rPr>
          <w:bCs/>
        </w:rPr>
        <w:t>ropisima te</w:t>
      </w:r>
      <w:r w:rsidR="00194999" w:rsidRPr="007466EF">
        <w:rPr>
          <w:bCs/>
        </w:rPr>
        <w:t xml:space="preserve"> naknada za korištenje nefinancijske imovine</w:t>
      </w:r>
      <w:r w:rsidR="006167CC" w:rsidRPr="007466EF">
        <w:rPr>
          <w:bCs/>
        </w:rPr>
        <w:t>. U 2024</w:t>
      </w:r>
      <w:r w:rsidR="005B035B" w:rsidRPr="007466EF">
        <w:rPr>
          <w:bCs/>
        </w:rPr>
        <w:t>.</w:t>
      </w:r>
      <w:r w:rsidRPr="007466EF">
        <w:rPr>
          <w:bCs/>
        </w:rPr>
        <w:t xml:space="preserve"> prenesen je manjak prihoda poslovanja u iznosu od </w:t>
      </w:r>
      <w:r w:rsidR="007E0C78" w:rsidRPr="007466EF">
        <w:rPr>
          <w:bCs/>
        </w:rPr>
        <w:t>12.293.551.888,82</w:t>
      </w:r>
      <w:r w:rsidRPr="007466EF">
        <w:rPr>
          <w:bCs/>
        </w:rPr>
        <w:t xml:space="preserve"> eura, pa ukupni manjak prihoda poslo</w:t>
      </w:r>
      <w:r w:rsidR="006167CC" w:rsidRPr="007466EF">
        <w:rPr>
          <w:bCs/>
        </w:rPr>
        <w:t>vanja za prijenos u 2025</w:t>
      </w:r>
      <w:r w:rsidR="005B035B" w:rsidRPr="007466EF">
        <w:rPr>
          <w:bCs/>
        </w:rPr>
        <w:t>.</w:t>
      </w:r>
      <w:r w:rsidRPr="007466EF">
        <w:rPr>
          <w:bCs/>
        </w:rPr>
        <w:t xml:space="preserve"> iznosi </w:t>
      </w:r>
      <w:r w:rsidR="007E0C78" w:rsidRPr="007466EF">
        <w:rPr>
          <w:bCs/>
        </w:rPr>
        <w:t xml:space="preserve">14.860.006.665,04 </w:t>
      </w:r>
      <w:r w:rsidRPr="007466EF">
        <w:rPr>
          <w:bCs/>
        </w:rPr>
        <w:t>eura.</w:t>
      </w:r>
    </w:p>
    <w:p w14:paraId="16890F7E" w14:textId="77777777" w:rsidR="00864F97" w:rsidRPr="007466EF" w:rsidRDefault="00864F97" w:rsidP="00864F97">
      <w:pPr>
        <w:shd w:val="clear" w:color="auto" w:fill="FFFFFF"/>
        <w:rPr>
          <w:color w:val="000000"/>
        </w:rPr>
      </w:pPr>
    </w:p>
    <w:p w14:paraId="232406D4" w14:textId="5608049A" w:rsidR="00864F97" w:rsidRPr="007466EF" w:rsidRDefault="00864F97" w:rsidP="00864F97">
      <w:pPr>
        <w:pStyle w:val="Naslov"/>
        <w:jc w:val="both"/>
        <w:rPr>
          <w:b w:val="0"/>
          <w:bCs w:val="0"/>
          <w:sz w:val="24"/>
        </w:rPr>
      </w:pPr>
      <w:r w:rsidRPr="007466EF">
        <w:rPr>
          <w:b w:val="0"/>
          <w:bCs w:val="0"/>
          <w:sz w:val="24"/>
        </w:rPr>
        <w:t>Prihodi od prodaje nefinancijske imovine ostvareni su u 202</w:t>
      </w:r>
      <w:r w:rsidR="003A519C" w:rsidRPr="007466EF">
        <w:rPr>
          <w:b w:val="0"/>
          <w:bCs w:val="0"/>
          <w:sz w:val="24"/>
        </w:rPr>
        <w:t>4</w:t>
      </w:r>
      <w:r w:rsidR="005B035B" w:rsidRPr="007466EF">
        <w:rPr>
          <w:b w:val="0"/>
          <w:bCs w:val="0"/>
          <w:sz w:val="24"/>
        </w:rPr>
        <w:t xml:space="preserve">. </w:t>
      </w:r>
      <w:r w:rsidRPr="007466EF">
        <w:rPr>
          <w:b w:val="0"/>
          <w:bCs w:val="0"/>
          <w:sz w:val="24"/>
        </w:rPr>
        <w:t xml:space="preserve">u iznosu </w:t>
      </w:r>
      <w:r w:rsidR="003A519C" w:rsidRPr="007466EF">
        <w:rPr>
          <w:b w:val="0"/>
          <w:bCs w:val="0"/>
          <w:sz w:val="24"/>
        </w:rPr>
        <w:t>134.684.569,55</w:t>
      </w:r>
      <w:r w:rsidRPr="007466EF">
        <w:rPr>
          <w:b w:val="0"/>
          <w:bCs w:val="0"/>
          <w:sz w:val="24"/>
        </w:rPr>
        <w:t xml:space="preserve"> eura što predstavlja </w:t>
      </w:r>
      <w:r w:rsidR="003A519C" w:rsidRPr="007466EF">
        <w:rPr>
          <w:b w:val="0"/>
          <w:bCs w:val="0"/>
          <w:sz w:val="24"/>
        </w:rPr>
        <w:t>povećanje</w:t>
      </w:r>
      <w:r w:rsidRPr="007466EF">
        <w:rPr>
          <w:b w:val="0"/>
          <w:bCs w:val="0"/>
          <w:sz w:val="24"/>
        </w:rPr>
        <w:t xml:space="preserve"> ostvarenja ovih prihoda od </w:t>
      </w:r>
      <w:r w:rsidR="003A519C" w:rsidRPr="007466EF">
        <w:rPr>
          <w:b w:val="0"/>
          <w:bCs w:val="0"/>
          <w:sz w:val="24"/>
        </w:rPr>
        <w:t>335% u odnosu na ostvarenje u 2023</w:t>
      </w:r>
      <w:r w:rsidR="005B035B" w:rsidRPr="007466EF">
        <w:rPr>
          <w:b w:val="0"/>
          <w:bCs w:val="0"/>
          <w:sz w:val="24"/>
        </w:rPr>
        <w:t>.</w:t>
      </w:r>
      <w:r w:rsidR="00A66669" w:rsidRPr="007466EF">
        <w:rPr>
          <w:b w:val="0"/>
          <w:bCs w:val="0"/>
          <w:sz w:val="24"/>
        </w:rPr>
        <w:t xml:space="preserve"> Na rast prihoda utjecalo je povećanje prihoda od prodaje uredske opreme i namještaja te uređaja, strojeva i opreme za ostale namjene. S</w:t>
      </w:r>
      <w:r w:rsidRPr="007466EF">
        <w:rPr>
          <w:b w:val="0"/>
          <w:bCs w:val="0"/>
          <w:sz w:val="24"/>
        </w:rPr>
        <w:t xml:space="preserve"> obz</w:t>
      </w:r>
      <w:r w:rsidR="00A66669" w:rsidRPr="007466EF">
        <w:rPr>
          <w:b w:val="0"/>
          <w:bCs w:val="0"/>
          <w:sz w:val="24"/>
        </w:rPr>
        <w:t>irom na to da u 2023</w:t>
      </w:r>
      <w:r w:rsidR="005B035B" w:rsidRPr="007466EF">
        <w:rPr>
          <w:b w:val="0"/>
          <w:bCs w:val="0"/>
          <w:sz w:val="24"/>
        </w:rPr>
        <w:t xml:space="preserve">. </w:t>
      </w:r>
      <w:r w:rsidRPr="007466EF">
        <w:rPr>
          <w:b w:val="0"/>
          <w:bCs w:val="0"/>
          <w:sz w:val="24"/>
        </w:rPr>
        <w:t xml:space="preserve">nije bilo poslovnih događaja u okviru rashoda za nabavu nefinancijske imovine, u </w:t>
      </w:r>
      <w:r w:rsidR="00A66669" w:rsidRPr="007466EF">
        <w:rPr>
          <w:b w:val="0"/>
          <w:bCs w:val="0"/>
          <w:sz w:val="24"/>
        </w:rPr>
        <w:t>2024. se bilježi stopostotno povećanje rashoda u iznosu od 8.496.870,37 eura, i to za nabavu poslovnih i ostalih građevinskih objekata</w:t>
      </w:r>
      <w:r w:rsidR="005B035B" w:rsidRPr="007466EF">
        <w:rPr>
          <w:b w:val="0"/>
          <w:bCs w:val="0"/>
          <w:sz w:val="24"/>
        </w:rPr>
        <w:t xml:space="preserve">. </w:t>
      </w:r>
      <w:r w:rsidR="00A66669" w:rsidRPr="007466EF">
        <w:rPr>
          <w:b w:val="0"/>
          <w:bCs w:val="0"/>
          <w:sz w:val="24"/>
        </w:rPr>
        <w:t>Na kraju 2024</w:t>
      </w:r>
      <w:r w:rsidR="005B035B" w:rsidRPr="007466EF">
        <w:rPr>
          <w:b w:val="0"/>
          <w:bCs w:val="0"/>
          <w:sz w:val="24"/>
        </w:rPr>
        <w:t>.</w:t>
      </w:r>
      <w:r w:rsidRPr="007466EF">
        <w:rPr>
          <w:b w:val="0"/>
          <w:bCs w:val="0"/>
          <w:sz w:val="24"/>
        </w:rPr>
        <w:t xml:space="preserve"> utvrđen je višak prihoda od prodaje nefinancijske imovine u iznosu od </w:t>
      </w:r>
      <w:r w:rsidR="00A66669" w:rsidRPr="007466EF">
        <w:rPr>
          <w:b w:val="0"/>
          <w:bCs w:val="0"/>
          <w:sz w:val="24"/>
        </w:rPr>
        <w:t>126.187.699,18</w:t>
      </w:r>
      <w:r w:rsidRPr="007466EF">
        <w:rPr>
          <w:b w:val="0"/>
          <w:bCs w:val="0"/>
          <w:sz w:val="24"/>
        </w:rPr>
        <w:t xml:space="preserve"> eura, što je </w:t>
      </w:r>
      <w:r w:rsidR="00A66669" w:rsidRPr="007466EF">
        <w:rPr>
          <w:b w:val="0"/>
          <w:bCs w:val="0"/>
          <w:sz w:val="24"/>
        </w:rPr>
        <w:t>307,6% više</w:t>
      </w:r>
      <w:r w:rsidRPr="007466EF">
        <w:rPr>
          <w:b w:val="0"/>
          <w:bCs w:val="0"/>
          <w:sz w:val="24"/>
        </w:rPr>
        <w:t xml:space="preserve"> ostvaren višak u odnosu na</w:t>
      </w:r>
      <w:r w:rsidR="00A66669" w:rsidRPr="007466EF">
        <w:rPr>
          <w:b w:val="0"/>
          <w:bCs w:val="0"/>
          <w:sz w:val="24"/>
        </w:rPr>
        <w:t xml:space="preserve"> ostvareni višak u 2023</w:t>
      </w:r>
      <w:r w:rsidR="005B035B" w:rsidRPr="007466EF">
        <w:rPr>
          <w:b w:val="0"/>
          <w:bCs w:val="0"/>
          <w:sz w:val="24"/>
        </w:rPr>
        <w:t>.</w:t>
      </w:r>
      <w:r w:rsidRPr="007466EF">
        <w:rPr>
          <w:b w:val="0"/>
          <w:bCs w:val="0"/>
          <w:sz w:val="24"/>
        </w:rPr>
        <w:t xml:space="preserve"> Manjak prihoda od prodaje nefinancijske</w:t>
      </w:r>
      <w:r w:rsidR="005B035B" w:rsidRPr="007466EF">
        <w:rPr>
          <w:b w:val="0"/>
          <w:bCs w:val="0"/>
          <w:sz w:val="24"/>
        </w:rPr>
        <w:t xml:space="preserve"> imovine prenesen u 202</w:t>
      </w:r>
      <w:r w:rsidR="007E0C78" w:rsidRPr="007466EF">
        <w:rPr>
          <w:b w:val="0"/>
          <w:bCs w:val="0"/>
          <w:sz w:val="24"/>
        </w:rPr>
        <w:t>4</w:t>
      </w:r>
      <w:r w:rsidR="005B035B" w:rsidRPr="007466EF">
        <w:rPr>
          <w:b w:val="0"/>
          <w:bCs w:val="0"/>
          <w:sz w:val="24"/>
        </w:rPr>
        <w:t>.</w:t>
      </w:r>
      <w:r w:rsidRPr="007466EF">
        <w:rPr>
          <w:b w:val="0"/>
          <w:bCs w:val="0"/>
          <w:sz w:val="24"/>
        </w:rPr>
        <w:t xml:space="preserve"> iznosi </w:t>
      </w:r>
      <w:r w:rsidR="007E0C78" w:rsidRPr="007466EF">
        <w:rPr>
          <w:b w:val="0"/>
          <w:bCs w:val="0"/>
          <w:sz w:val="24"/>
        </w:rPr>
        <w:t xml:space="preserve">10.041.536.081,23 </w:t>
      </w:r>
      <w:r w:rsidRPr="007466EF">
        <w:rPr>
          <w:b w:val="0"/>
          <w:bCs w:val="0"/>
          <w:sz w:val="24"/>
        </w:rPr>
        <w:t>eura, pa ukupni manjak prihoda od prodaje nefinancijske im</w:t>
      </w:r>
      <w:r w:rsidR="001F1B16" w:rsidRPr="007466EF">
        <w:rPr>
          <w:b w:val="0"/>
          <w:bCs w:val="0"/>
          <w:sz w:val="24"/>
        </w:rPr>
        <w:t>ovine za prijenos u 2024.</w:t>
      </w:r>
      <w:r w:rsidRPr="007466EF">
        <w:rPr>
          <w:b w:val="0"/>
          <w:bCs w:val="0"/>
          <w:sz w:val="24"/>
        </w:rPr>
        <w:t xml:space="preserve"> iznosi </w:t>
      </w:r>
      <w:r w:rsidR="007E0C78" w:rsidRPr="007466EF">
        <w:rPr>
          <w:b w:val="0"/>
          <w:bCs w:val="0"/>
          <w:sz w:val="24"/>
        </w:rPr>
        <w:t xml:space="preserve">9.915.348.382,05 </w:t>
      </w:r>
      <w:r w:rsidRPr="007466EF">
        <w:rPr>
          <w:b w:val="0"/>
          <w:bCs w:val="0"/>
          <w:sz w:val="24"/>
        </w:rPr>
        <w:t>eura.</w:t>
      </w:r>
    </w:p>
    <w:p w14:paraId="3826B361" w14:textId="77777777" w:rsidR="00864F97" w:rsidRPr="007466EF" w:rsidRDefault="00864F97" w:rsidP="00864F97"/>
    <w:p w14:paraId="3FBC6B34" w14:textId="23CE5BBC" w:rsidR="00864F97" w:rsidRPr="007466EF" w:rsidRDefault="003A519C" w:rsidP="00864F97">
      <w:pPr>
        <w:pStyle w:val="Naslov"/>
        <w:jc w:val="both"/>
        <w:rPr>
          <w:b w:val="0"/>
          <w:bCs w:val="0"/>
          <w:sz w:val="24"/>
        </w:rPr>
      </w:pPr>
      <w:r w:rsidRPr="007466EF">
        <w:rPr>
          <w:b w:val="0"/>
          <w:bCs w:val="0"/>
          <w:sz w:val="24"/>
        </w:rPr>
        <w:lastRenderedPageBreak/>
        <w:t>U 2024</w:t>
      </w:r>
      <w:r w:rsidR="000F0D22" w:rsidRPr="007466EF">
        <w:rPr>
          <w:b w:val="0"/>
          <w:bCs w:val="0"/>
          <w:sz w:val="24"/>
        </w:rPr>
        <w:t>.</w:t>
      </w:r>
      <w:r w:rsidR="00864F97" w:rsidRPr="007466EF">
        <w:rPr>
          <w:b w:val="0"/>
          <w:bCs w:val="0"/>
          <w:sz w:val="24"/>
        </w:rPr>
        <w:t xml:space="preserve"> su primici od financijske imovine i zaduživanja iznosili </w:t>
      </w:r>
      <w:r w:rsidRPr="007466EF">
        <w:rPr>
          <w:b w:val="0"/>
          <w:bCs w:val="0"/>
          <w:sz w:val="24"/>
        </w:rPr>
        <w:t>5.579.148.494,14</w:t>
      </w:r>
      <w:r w:rsidR="00864F97" w:rsidRPr="007466EF">
        <w:rPr>
          <w:b w:val="0"/>
          <w:bCs w:val="0"/>
          <w:sz w:val="24"/>
        </w:rPr>
        <w:t xml:space="preserve"> eura, odnosno </w:t>
      </w:r>
      <w:r w:rsidRPr="007466EF">
        <w:rPr>
          <w:b w:val="0"/>
          <w:bCs w:val="0"/>
          <w:sz w:val="24"/>
        </w:rPr>
        <w:t>smanjili</w:t>
      </w:r>
      <w:r w:rsidR="00864F97" w:rsidRPr="007466EF">
        <w:rPr>
          <w:b w:val="0"/>
          <w:bCs w:val="0"/>
          <w:sz w:val="24"/>
        </w:rPr>
        <w:t xml:space="preserve"> su se za </w:t>
      </w:r>
      <w:r w:rsidRPr="007466EF">
        <w:rPr>
          <w:b w:val="0"/>
          <w:bCs w:val="0"/>
          <w:sz w:val="24"/>
        </w:rPr>
        <w:t>20</w:t>
      </w:r>
      <w:r w:rsidR="00864F97" w:rsidRPr="007466EF">
        <w:rPr>
          <w:b w:val="0"/>
          <w:bCs w:val="0"/>
          <w:sz w:val="24"/>
        </w:rPr>
        <w:t xml:space="preserve">% u odnosu na </w:t>
      </w:r>
      <w:r w:rsidRPr="007466EF">
        <w:rPr>
          <w:b w:val="0"/>
          <w:bCs w:val="0"/>
          <w:sz w:val="24"/>
        </w:rPr>
        <w:t>6.975.549.376,48</w:t>
      </w:r>
      <w:r w:rsidR="00864F97" w:rsidRPr="007466EF">
        <w:rPr>
          <w:b w:val="0"/>
          <w:bCs w:val="0"/>
          <w:sz w:val="24"/>
        </w:rPr>
        <w:t xml:space="preserve"> </w:t>
      </w:r>
      <w:r w:rsidRPr="007466EF">
        <w:rPr>
          <w:b w:val="0"/>
          <w:bCs w:val="0"/>
          <w:sz w:val="24"/>
        </w:rPr>
        <w:t>eura primitaka ostvarenih u 2023</w:t>
      </w:r>
      <w:r w:rsidR="00864F97" w:rsidRPr="007466EF">
        <w:rPr>
          <w:b w:val="0"/>
          <w:bCs w:val="0"/>
          <w:sz w:val="24"/>
        </w:rPr>
        <w:t xml:space="preserve">. Na </w:t>
      </w:r>
      <w:r w:rsidR="00A66669" w:rsidRPr="007466EF">
        <w:rPr>
          <w:b w:val="0"/>
          <w:bCs w:val="0"/>
          <w:sz w:val="24"/>
        </w:rPr>
        <w:t>smanjenje</w:t>
      </w:r>
      <w:r w:rsidR="00864F97" w:rsidRPr="007466EF">
        <w:rPr>
          <w:b w:val="0"/>
          <w:bCs w:val="0"/>
          <w:sz w:val="24"/>
        </w:rPr>
        <w:t xml:space="preserve"> ostvarenih primitaka utjecalo je </w:t>
      </w:r>
      <w:r w:rsidR="00A66669" w:rsidRPr="007466EF">
        <w:rPr>
          <w:b w:val="0"/>
          <w:bCs w:val="0"/>
          <w:sz w:val="24"/>
        </w:rPr>
        <w:t>smanjenje</w:t>
      </w:r>
      <w:r w:rsidR="00864F97" w:rsidRPr="007466EF">
        <w:rPr>
          <w:b w:val="0"/>
          <w:bCs w:val="0"/>
          <w:sz w:val="24"/>
        </w:rPr>
        <w:t xml:space="preserve"> primitaka od povrata zajmova danih kreditnim institucijama u javnom sektoru </w:t>
      </w:r>
      <w:r w:rsidR="00A66669" w:rsidRPr="007466EF">
        <w:rPr>
          <w:b w:val="0"/>
          <w:bCs w:val="0"/>
          <w:sz w:val="24"/>
        </w:rPr>
        <w:t>i trgovačkim društvima u javnom sektoru, primitaka od povrata zajmova danih gradskim proračunima i ostalim izvanproračunskim korisnicima državnog proračuna, primitaka od tuzemnih obveznica, primitaka od primljenih zajmova od međunarodnih organizacija i primitaka od primljenih kredita od tuzemnih kreditnih institucija izvan javnog sektora</w:t>
      </w:r>
      <w:r w:rsidR="00864F97" w:rsidRPr="007466EF">
        <w:rPr>
          <w:b w:val="0"/>
          <w:bCs w:val="0"/>
          <w:sz w:val="24"/>
        </w:rPr>
        <w:t>. Izdaci za financijsku imovinu i otplate zaj</w:t>
      </w:r>
      <w:r w:rsidR="00A66669" w:rsidRPr="007466EF">
        <w:rPr>
          <w:b w:val="0"/>
          <w:bCs w:val="0"/>
          <w:sz w:val="24"/>
        </w:rPr>
        <w:t>mova ostvareni su u 2024</w:t>
      </w:r>
      <w:r w:rsidR="005B035B" w:rsidRPr="007466EF">
        <w:rPr>
          <w:b w:val="0"/>
          <w:bCs w:val="0"/>
          <w:sz w:val="24"/>
        </w:rPr>
        <w:t>.</w:t>
      </w:r>
      <w:r w:rsidR="00864F97" w:rsidRPr="007466EF">
        <w:rPr>
          <w:b w:val="0"/>
          <w:bCs w:val="0"/>
          <w:sz w:val="24"/>
        </w:rPr>
        <w:t xml:space="preserve"> u iznosu od 4.</w:t>
      </w:r>
      <w:r w:rsidR="00A66669" w:rsidRPr="007466EF">
        <w:rPr>
          <w:b w:val="0"/>
          <w:bCs w:val="0"/>
          <w:sz w:val="24"/>
        </w:rPr>
        <w:t>673.287.698,23</w:t>
      </w:r>
      <w:r w:rsidR="00864F97" w:rsidRPr="007466EF">
        <w:rPr>
          <w:b w:val="0"/>
          <w:bCs w:val="0"/>
          <w:sz w:val="24"/>
        </w:rPr>
        <w:t xml:space="preserve"> eura, odnosno </w:t>
      </w:r>
      <w:r w:rsidR="00A66669" w:rsidRPr="007466EF">
        <w:rPr>
          <w:b w:val="0"/>
          <w:bCs w:val="0"/>
          <w:sz w:val="24"/>
        </w:rPr>
        <w:t>6,7% više nego u 2023</w:t>
      </w:r>
      <w:r w:rsidR="005B035B" w:rsidRPr="007466EF">
        <w:rPr>
          <w:b w:val="0"/>
          <w:bCs w:val="0"/>
          <w:sz w:val="24"/>
        </w:rPr>
        <w:t xml:space="preserve">. </w:t>
      </w:r>
      <w:r w:rsidR="00864F97" w:rsidRPr="007466EF">
        <w:rPr>
          <w:b w:val="0"/>
          <w:bCs w:val="0"/>
          <w:sz w:val="24"/>
        </w:rPr>
        <w:t xml:space="preserve">kada su ostvareni u iznosu od </w:t>
      </w:r>
      <w:r w:rsidR="00A66669" w:rsidRPr="007466EF">
        <w:rPr>
          <w:b w:val="0"/>
          <w:bCs w:val="0"/>
          <w:sz w:val="24"/>
        </w:rPr>
        <w:t>4.380.472.658,98</w:t>
      </w:r>
      <w:r w:rsidR="00864F97" w:rsidRPr="007466EF">
        <w:rPr>
          <w:b w:val="0"/>
          <w:bCs w:val="0"/>
          <w:sz w:val="24"/>
        </w:rPr>
        <w:t xml:space="preserve"> eura.</w:t>
      </w:r>
      <w:r w:rsidR="00A66669" w:rsidRPr="007466EF">
        <w:rPr>
          <w:b w:val="0"/>
          <w:bCs w:val="0"/>
          <w:sz w:val="24"/>
        </w:rPr>
        <w:t xml:space="preserve"> Na povećanje ostvarenih izdataka utjecalo je povećanje izdataka za dane zajmove tuzemnim trgovačkim društvima izvan javnog sektora, izdataka za depozite u inozemnim kreditnim i ostalim financijskim institucijama, izdataka za dionice i udjele u glavnici inozemnih kreditnih i ostalih financijskih institucija te dionice i udjele u glavnici tuzemnih trgovačkih društava izvan javnog sektora, izdataka za otplate glavnica primljenih kredita od kreditnih institucija u javnom sektoru.</w:t>
      </w:r>
      <w:r w:rsidR="00864F97" w:rsidRPr="007466EF">
        <w:rPr>
          <w:b w:val="0"/>
          <w:bCs w:val="0"/>
          <w:sz w:val="24"/>
        </w:rPr>
        <w:t xml:space="preserve"> </w:t>
      </w:r>
      <w:r w:rsidR="00A66669" w:rsidRPr="007466EF">
        <w:rPr>
          <w:b w:val="0"/>
          <w:bCs w:val="0"/>
          <w:sz w:val="24"/>
        </w:rPr>
        <w:t>U 2024</w:t>
      </w:r>
      <w:r w:rsidR="000F0D22" w:rsidRPr="007466EF">
        <w:rPr>
          <w:b w:val="0"/>
          <w:bCs w:val="0"/>
          <w:sz w:val="24"/>
        </w:rPr>
        <w:t>.</w:t>
      </w:r>
      <w:r w:rsidR="00864F97" w:rsidRPr="007466EF">
        <w:rPr>
          <w:b w:val="0"/>
          <w:bCs w:val="0"/>
          <w:sz w:val="24"/>
        </w:rPr>
        <w:t xml:space="preserve"> ostvaren je višak primitaka od financijske imovine nad izdacima u iznosu od </w:t>
      </w:r>
      <w:r w:rsidR="00A66669" w:rsidRPr="007466EF">
        <w:rPr>
          <w:b w:val="0"/>
          <w:bCs w:val="0"/>
          <w:sz w:val="24"/>
        </w:rPr>
        <w:t>905.860.795,91 euro</w:t>
      </w:r>
      <w:r w:rsidR="00864F97" w:rsidRPr="007466EF">
        <w:rPr>
          <w:b w:val="0"/>
          <w:bCs w:val="0"/>
          <w:sz w:val="24"/>
        </w:rPr>
        <w:t>, dok je u prethodnoj godini ostvaren</w:t>
      </w:r>
      <w:r w:rsidR="00A66669" w:rsidRPr="007466EF">
        <w:rPr>
          <w:b w:val="0"/>
          <w:bCs w:val="0"/>
          <w:sz w:val="24"/>
        </w:rPr>
        <w:t>i</w:t>
      </w:r>
      <w:r w:rsidR="00864F97" w:rsidRPr="007466EF">
        <w:rPr>
          <w:b w:val="0"/>
          <w:bCs w:val="0"/>
          <w:sz w:val="24"/>
        </w:rPr>
        <w:t xml:space="preserve"> </w:t>
      </w:r>
      <w:r w:rsidR="00A66669" w:rsidRPr="007466EF">
        <w:rPr>
          <w:b w:val="0"/>
          <w:bCs w:val="0"/>
          <w:sz w:val="24"/>
        </w:rPr>
        <w:t>višak iznosio</w:t>
      </w:r>
      <w:r w:rsidR="00864F97" w:rsidRPr="007466EF">
        <w:rPr>
          <w:b w:val="0"/>
          <w:bCs w:val="0"/>
          <w:sz w:val="24"/>
        </w:rPr>
        <w:t xml:space="preserve"> </w:t>
      </w:r>
      <w:r w:rsidR="00A66669" w:rsidRPr="007466EF">
        <w:rPr>
          <w:b w:val="0"/>
          <w:bCs w:val="0"/>
          <w:sz w:val="24"/>
        </w:rPr>
        <w:t>2.595.076.717,50 eura.</w:t>
      </w:r>
    </w:p>
    <w:p w14:paraId="3A697100" w14:textId="0EB540C5" w:rsidR="00864F97" w:rsidRPr="007466EF" w:rsidRDefault="00864F97" w:rsidP="00864F97">
      <w:pPr>
        <w:pStyle w:val="Naslov"/>
        <w:jc w:val="both"/>
        <w:rPr>
          <w:b w:val="0"/>
          <w:bCs w:val="0"/>
          <w:sz w:val="24"/>
        </w:rPr>
      </w:pPr>
      <w:r w:rsidRPr="007466EF">
        <w:rPr>
          <w:b w:val="0"/>
          <w:bCs w:val="0"/>
          <w:sz w:val="24"/>
        </w:rPr>
        <w:t>Preneseni višak primita</w:t>
      </w:r>
      <w:r w:rsidR="00A66669" w:rsidRPr="007466EF">
        <w:rPr>
          <w:b w:val="0"/>
          <w:bCs w:val="0"/>
          <w:sz w:val="24"/>
        </w:rPr>
        <w:t>ka od financijske imovine u 2024</w:t>
      </w:r>
      <w:r w:rsidRPr="007466EF">
        <w:rPr>
          <w:b w:val="0"/>
          <w:bCs w:val="0"/>
          <w:sz w:val="24"/>
        </w:rPr>
        <w:t xml:space="preserve">. je iznosio </w:t>
      </w:r>
      <w:r w:rsidR="007F3FED" w:rsidRPr="007466EF">
        <w:rPr>
          <w:b w:val="0"/>
          <w:bCs w:val="0"/>
          <w:sz w:val="24"/>
        </w:rPr>
        <w:t xml:space="preserve">23.915.130.716,11 </w:t>
      </w:r>
      <w:r w:rsidRPr="007466EF">
        <w:rPr>
          <w:b w:val="0"/>
          <w:bCs w:val="0"/>
          <w:sz w:val="24"/>
        </w:rPr>
        <w:t>eura, slijedom čega višak primitaka od financijske imovine koji se pr</w:t>
      </w:r>
      <w:r w:rsidR="007F3FED" w:rsidRPr="007466EF">
        <w:rPr>
          <w:b w:val="0"/>
          <w:bCs w:val="0"/>
          <w:sz w:val="24"/>
        </w:rPr>
        <w:t>enosi u slijedeću godinu iznosi 24.820.991.512,02</w:t>
      </w:r>
      <w:r w:rsidRPr="007466EF">
        <w:rPr>
          <w:b w:val="0"/>
          <w:bCs w:val="0"/>
          <w:sz w:val="24"/>
        </w:rPr>
        <w:t>eura.</w:t>
      </w:r>
    </w:p>
    <w:p w14:paraId="7A20CEEF" w14:textId="77777777" w:rsidR="00864F97" w:rsidRPr="007466EF" w:rsidRDefault="00864F97" w:rsidP="00864F97"/>
    <w:p w14:paraId="07C193A4" w14:textId="0B792C0A" w:rsidR="00864F97" w:rsidRPr="007466EF" w:rsidRDefault="00864F97" w:rsidP="00C45823">
      <w:pPr>
        <w:pStyle w:val="Naslov"/>
        <w:keepNext/>
        <w:jc w:val="both"/>
        <w:rPr>
          <w:b w:val="0"/>
          <w:bCs w:val="0"/>
          <w:color w:val="FF0000"/>
          <w:sz w:val="24"/>
        </w:rPr>
      </w:pPr>
      <w:r w:rsidRPr="007466EF">
        <w:rPr>
          <w:b w:val="0"/>
          <w:bCs w:val="0"/>
          <w:sz w:val="24"/>
        </w:rPr>
        <w:t>Ukupni rezultat Državnog proračuna za 202</w:t>
      </w:r>
      <w:r w:rsidR="0072041E" w:rsidRPr="007466EF">
        <w:rPr>
          <w:b w:val="0"/>
          <w:bCs w:val="0"/>
          <w:sz w:val="24"/>
        </w:rPr>
        <w:t>4</w:t>
      </w:r>
      <w:r w:rsidR="008E645A" w:rsidRPr="007466EF">
        <w:rPr>
          <w:b w:val="0"/>
          <w:bCs w:val="0"/>
          <w:sz w:val="24"/>
        </w:rPr>
        <w:t>.</w:t>
      </w:r>
      <w:r w:rsidRPr="007466EF">
        <w:rPr>
          <w:b w:val="0"/>
          <w:bCs w:val="0"/>
          <w:sz w:val="24"/>
        </w:rPr>
        <w:t xml:space="preserve"> je</w:t>
      </w:r>
      <w:r w:rsidR="0072041E" w:rsidRPr="007466EF">
        <w:rPr>
          <w:b w:val="0"/>
          <w:bCs w:val="0"/>
          <w:sz w:val="24"/>
        </w:rPr>
        <w:t xml:space="preserve"> manjak</w:t>
      </w:r>
      <w:r w:rsidRPr="007466EF">
        <w:rPr>
          <w:b w:val="0"/>
          <w:bCs w:val="0"/>
          <w:sz w:val="24"/>
        </w:rPr>
        <w:t xml:space="preserve"> prihoda i primitaka u iznosu od </w:t>
      </w:r>
      <w:r w:rsidR="0072041E" w:rsidRPr="007466EF">
        <w:rPr>
          <w:b w:val="0"/>
          <w:bCs w:val="0"/>
          <w:sz w:val="24"/>
        </w:rPr>
        <w:t xml:space="preserve">1.534.406.281,13 </w:t>
      </w:r>
      <w:r w:rsidRPr="007466EF">
        <w:rPr>
          <w:b w:val="0"/>
          <w:bCs w:val="0"/>
          <w:sz w:val="24"/>
        </w:rPr>
        <w:t>eura,</w:t>
      </w:r>
      <w:r w:rsidR="008E645A" w:rsidRPr="007466EF">
        <w:rPr>
          <w:b w:val="0"/>
          <w:bCs w:val="0"/>
          <w:sz w:val="24"/>
        </w:rPr>
        <w:t xml:space="preserve"> a s obzirom na to da je iz 2023. u 2024</w:t>
      </w:r>
      <w:r w:rsidRPr="007466EF">
        <w:rPr>
          <w:b w:val="0"/>
          <w:bCs w:val="0"/>
          <w:sz w:val="24"/>
        </w:rPr>
        <w:t xml:space="preserve">. prenesen višak prihoda i primitaka u iznosu od </w:t>
      </w:r>
      <w:r w:rsidR="008E645A" w:rsidRPr="007466EF">
        <w:rPr>
          <w:b w:val="0"/>
          <w:bCs w:val="0"/>
          <w:sz w:val="24"/>
        </w:rPr>
        <w:t xml:space="preserve">1.580.042.746,06 </w:t>
      </w:r>
      <w:r w:rsidRPr="007466EF">
        <w:rPr>
          <w:b w:val="0"/>
          <w:bCs w:val="0"/>
          <w:sz w:val="24"/>
        </w:rPr>
        <w:t xml:space="preserve">eura, ukupni višak prihoda i primitaka raspoloživ u sljedećem razdoblju iznosi </w:t>
      </w:r>
      <w:r w:rsidR="008E645A" w:rsidRPr="007466EF">
        <w:rPr>
          <w:b w:val="0"/>
          <w:bCs w:val="0"/>
          <w:sz w:val="24"/>
        </w:rPr>
        <w:t xml:space="preserve">45.636.464,93 </w:t>
      </w:r>
      <w:r w:rsidRPr="007466EF">
        <w:rPr>
          <w:b w:val="0"/>
          <w:bCs w:val="0"/>
          <w:sz w:val="24"/>
        </w:rPr>
        <w:t>eura.</w:t>
      </w:r>
    </w:p>
    <w:p w14:paraId="2849A4FD" w14:textId="77777777" w:rsidR="00864F97" w:rsidRPr="007466EF" w:rsidRDefault="00864F97" w:rsidP="00864F97">
      <w:pPr>
        <w:pStyle w:val="Tijeloteksta"/>
      </w:pPr>
    </w:p>
    <w:p w14:paraId="2C4B5068" w14:textId="77777777" w:rsidR="00864F97" w:rsidRPr="007466EF" w:rsidRDefault="00864F97" w:rsidP="00864F97">
      <w:pPr>
        <w:pStyle w:val="Naslov"/>
        <w:keepNext/>
        <w:rPr>
          <w:b w:val="0"/>
          <w:bCs w:val="0"/>
        </w:rPr>
      </w:pPr>
      <w:r w:rsidRPr="007466EF">
        <w:rPr>
          <w:b w:val="0"/>
          <w:bCs w:val="0"/>
        </w:rPr>
        <w:t>Bilješka 3.</w:t>
      </w:r>
    </w:p>
    <w:p w14:paraId="60587F18" w14:textId="77777777" w:rsidR="00864F97" w:rsidRPr="007466EF" w:rsidRDefault="00864F97" w:rsidP="00864F97">
      <w:pPr>
        <w:pStyle w:val="Naslov"/>
        <w:keepNext/>
        <w:rPr>
          <w:b w:val="0"/>
          <w:bCs w:val="0"/>
        </w:rPr>
      </w:pPr>
      <w:r w:rsidRPr="007466EF">
        <w:rPr>
          <w:b w:val="0"/>
          <w:bCs w:val="0"/>
        </w:rPr>
        <w:t>Šifra 61 Prihodi od poreza</w:t>
      </w:r>
    </w:p>
    <w:p w14:paraId="3E10A957" w14:textId="01195690" w:rsidR="00864F97" w:rsidRPr="007466EF" w:rsidRDefault="00864F97" w:rsidP="00864F97">
      <w:pPr>
        <w:jc w:val="both"/>
      </w:pPr>
      <w:r w:rsidRPr="007466EF">
        <w:t>Prihodi od poreza u 202</w:t>
      </w:r>
      <w:r w:rsidR="003A519C" w:rsidRPr="007466EF">
        <w:t>4</w:t>
      </w:r>
      <w:r w:rsidR="000F0D22" w:rsidRPr="007466EF">
        <w:t>.</w:t>
      </w:r>
      <w:r w:rsidRPr="007466EF">
        <w:t xml:space="preserve"> ostvareni su u iznosu od </w:t>
      </w:r>
      <w:r w:rsidR="003A519C" w:rsidRPr="007466EF">
        <w:t>17.352.862.145,29</w:t>
      </w:r>
      <w:r w:rsidRPr="007466EF">
        <w:t xml:space="preserve"> eura, odnosno za </w:t>
      </w:r>
      <w:r w:rsidR="003A519C" w:rsidRPr="007466EF">
        <w:t>12,8</w:t>
      </w:r>
      <w:r w:rsidRPr="007466EF">
        <w:t>% više u odnosu na prihode od poreza ostvarene u 202</w:t>
      </w:r>
      <w:r w:rsidR="003A519C" w:rsidRPr="007466EF">
        <w:t>3</w:t>
      </w:r>
      <w:r w:rsidRPr="007466EF">
        <w:t xml:space="preserve">. Na rast prihoda od poreza u promatranom razdoblju najvećim je dijelom utjecalo povećanje prihoda od poreza na dobit poduzetnika koji je ostvaren za </w:t>
      </w:r>
      <w:r w:rsidR="00C40D2A">
        <w:t>15,2</w:t>
      </w:r>
      <w:r w:rsidRPr="007466EF">
        <w:t xml:space="preserve">% odnosno </w:t>
      </w:r>
      <w:r w:rsidR="00B21B45" w:rsidRPr="007466EF">
        <w:t>353</w:t>
      </w:r>
      <w:r w:rsidRPr="007466EF">
        <w:t xml:space="preserve"> milijuna eura vi</w:t>
      </w:r>
      <w:r w:rsidR="00B21B45" w:rsidRPr="007466EF">
        <w:t>še u odnosu na ostvarenje u 2023</w:t>
      </w:r>
      <w:r w:rsidR="00A66669" w:rsidRPr="007466EF">
        <w:t xml:space="preserve">., povećanje prihoda od poreza na dodanu vrijednost koji je ostvaren za 11,4% odnosno 1,18 milijardi eura više u odnosu na ostvarene prihode u 2023. </w:t>
      </w:r>
      <w:r w:rsidR="00B21B45" w:rsidRPr="007466EF">
        <w:t xml:space="preserve">te povećanje posebnih poreza i trošarina koji </w:t>
      </w:r>
      <w:r w:rsidR="00A66669" w:rsidRPr="007466EF">
        <w:t>su</w:t>
      </w:r>
      <w:r w:rsidR="00B21B45" w:rsidRPr="007466EF">
        <w:t xml:space="preserve"> ostvaren</w:t>
      </w:r>
      <w:r w:rsidR="00A66669" w:rsidRPr="007466EF">
        <w:t>i</w:t>
      </w:r>
      <w:r w:rsidR="00B21B45" w:rsidRPr="007466EF">
        <w:t xml:space="preserve"> za 16,6% odnosno 399 milijuna eura više u odnosu na ostvarenje prethodne godine</w:t>
      </w:r>
      <w:r w:rsidRPr="007466EF">
        <w:t>.</w:t>
      </w:r>
    </w:p>
    <w:p w14:paraId="203D3E7B" w14:textId="39556D51" w:rsidR="00864F97" w:rsidRPr="007466EF" w:rsidRDefault="00864F97" w:rsidP="00864F97">
      <w:pPr>
        <w:jc w:val="both"/>
      </w:pPr>
      <w:r w:rsidRPr="007466EF">
        <w:t xml:space="preserve">Porez i prirez na dohodak od kapitala te ostali porezi i prirezi na dohodak prihodi su jedinica lokalne i područne (regionalne) samouprave, stoga se ne iskazuju u financijskom izvještaju državnog proračuna. </w:t>
      </w:r>
    </w:p>
    <w:p w14:paraId="1D4F9B10" w14:textId="11FC781A" w:rsidR="00BC1660" w:rsidRPr="007466EF" w:rsidRDefault="00BC1660" w:rsidP="00864F97">
      <w:pPr>
        <w:jc w:val="both"/>
      </w:pPr>
    </w:p>
    <w:p w14:paraId="06792FD5" w14:textId="0E8B46D8" w:rsidR="00BC1660" w:rsidRPr="007466EF" w:rsidRDefault="00BC1660" w:rsidP="00BC1660">
      <w:pPr>
        <w:spacing w:after="120"/>
        <w:jc w:val="both"/>
      </w:pPr>
      <w:r w:rsidRPr="007466EF">
        <w:t xml:space="preserve">Porezne izmjene </w:t>
      </w:r>
      <w:r w:rsidR="00A66669" w:rsidRPr="007466EF">
        <w:t>koje</w:t>
      </w:r>
      <w:r w:rsidRPr="007466EF">
        <w:t xml:space="preserve"> su imale utjecaj na kretanje prihodne strane proračuna tijekom 2024.</w:t>
      </w:r>
      <w:r w:rsidR="00A66669" w:rsidRPr="007466EF">
        <w:t xml:space="preserve"> uključuju</w:t>
      </w:r>
      <w:r w:rsidRPr="007466EF">
        <w:t xml:space="preserve"> produljenje mjere privremeno snižene stope PDV-a od 5% na isporuku plina, grijanja iz toplinskih stanica, ogrjevnog drva, </w:t>
      </w:r>
      <w:proofErr w:type="spellStart"/>
      <w:r w:rsidRPr="007466EF">
        <w:t>peleta</w:t>
      </w:r>
      <w:proofErr w:type="spellEnd"/>
      <w:r w:rsidRPr="007466EF">
        <w:t>, briketa i sj</w:t>
      </w:r>
      <w:r w:rsidR="000F0D22" w:rsidRPr="007466EF">
        <w:t>ečke do kraja ožujka 2025.</w:t>
      </w:r>
      <w:r w:rsidRPr="007466EF">
        <w:t xml:space="preserve"> </w:t>
      </w:r>
      <w:r w:rsidRPr="007466EF">
        <w:rPr>
          <w:rFonts w:cs="Calibri"/>
        </w:rPr>
        <w:t xml:space="preserve">Nadalje, Vlada Republike Hrvatske donijela je i Uredbu o izmjeni Uredbe o visini trošarine na energente i električnu energiju </w:t>
      </w:r>
      <w:r w:rsidR="00BE26ED" w:rsidRPr="007466EF">
        <w:rPr>
          <w:rFonts w:cs="Calibri"/>
        </w:rPr>
        <w:t>(Narodne novine, br. 47/24</w:t>
      </w:r>
      <w:r w:rsidR="000F0D22" w:rsidRPr="007466EF">
        <w:rPr>
          <w:rFonts w:cs="Calibri"/>
        </w:rPr>
        <w:t>.</w:t>
      </w:r>
      <w:r w:rsidR="00BE26ED" w:rsidRPr="007466EF">
        <w:rPr>
          <w:rFonts w:cs="Calibri"/>
        </w:rPr>
        <w:t xml:space="preserve">) </w:t>
      </w:r>
      <w:r w:rsidRPr="007466EF">
        <w:rPr>
          <w:rFonts w:cs="Calibri"/>
        </w:rPr>
        <w:t>i Uredbu o utvrđivanju najviših maloprodajnih cijena naftnih derivata</w:t>
      </w:r>
      <w:r w:rsidR="00BE26ED" w:rsidRPr="007466EF">
        <w:rPr>
          <w:rFonts w:cs="Calibri"/>
        </w:rPr>
        <w:t xml:space="preserve"> (Narodne novine, br. 84/24)</w:t>
      </w:r>
      <w:r w:rsidRPr="007466EF">
        <w:rPr>
          <w:rFonts w:cs="Calibri"/>
        </w:rPr>
        <w:t xml:space="preserve">, kojom su utvrđene premije energetskih subjekata za motorne benzine i dizelska goriva kojima se reguliraju cijene naftnih derivata. Zadnje produženje ove Uredbe bilo je u lipnju 2024. </w:t>
      </w:r>
      <w:r w:rsidRPr="007466EF">
        <w:t xml:space="preserve">Od 1. siječnja 2024. na snagu su stupile i porezne izmjene u sustavu doprinosa za mirovinsko osiguranje te u sustavu poreza na dohodak. </w:t>
      </w:r>
      <w:r w:rsidRPr="007466EF">
        <w:rPr>
          <w:rFonts w:cstheme="minorHAnsi"/>
        </w:rPr>
        <w:t>Izmjenama Zakona o doprinosima</w:t>
      </w:r>
      <w:r w:rsidR="00BE26ED" w:rsidRPr="007466EF">
        <w:rPr>
          <w:rFonts w:cstheme="minorHAnsi"/>
        </w:rPr>
        <w:t xml:space="preserve"> (Narodne novine, br. 152/24</w:t>
      </w:r>
      <w:r w:rsidR="000F0D22" w:rsidRPr="007466EF">
        <w:rPr>
          <w:rFonts w:cstheme="minorHAnsi"/>
        </w:rPr>
        <w:t>.</w:t>
      </w:r>
      <w:r w:rsidR="00BE26ED" w:rsidRPr="007466EF">
        <w:rPr>
          <w:rFonts w:cstheme="minorHAnsi"/>
        </w:rPr>
        <w:t>)</w:t>
      </w:r>
      <w:r w:rsidRPr="007466EF">
        <w:rPr>
          <w:rFonts w:cstheme="minorHAnsi"/>
        </w:rPr>
        <w:t xml:space="preserve">, smanjena je mjesečna osnovica za obračun doprinosa za mirovinsko osiguranje temeljem generacijske </w:t>
      </w:r>
      <w:r w:rsidRPr="007466EF">
        <w:rPr>
          <w:rFonts w:cstheme="minorHAnsi"/>
        </w:rPr>
        <w:lastRenderedPageBreak/>
        <w:t>solidarnosti. Za sve ukupne bruto mjesečne plaće do 700 eura smanjenje je fiksno i iznosi 300 eura, dok se za plaće povrh tog iznosa pa do iznosa od 1.300 eura olakšica postupno smanjuje. Pri tome olakšica ne umanjuje budući iznos mirovine jer će se za utvrđivanje prava iz mirovinskog osiguranja temeljem generacijske solidarnosti, koristiti puna mjesečna osnovica bez umanjenja za olakšicu.</w:t>
      </w:r>
    </w:p>
    <w:p w14:paraId="6892C049" w14:textId="77777777" w:rsidR="00864F97" w:rsidRPr="007466EF" w:rsidRDefault="00864F97" w:rsidP="007466EF"/>
    <w:p w14:paraId="60E794EC" w14:textId="77777777" w:rsidR="00864F97" w:rsidRPr="007466EF" w:rsidRDefault="00864F97" w:rsidP="00864F97">
      <w:pPr>
        <w:pStyle w:val="Naslov"/>
        <w:keepNext/>
        <w:rPr>
          <w:b w:val="0"/>
          <w:bCs w:val="0"/>
        </w:rPr>
      </w:pPr>
      <w:r w:rsidRPr="007466EF">
        <w:rPr>
          <w:b w:val="0"/>
          <w:bCs w:val="0"/>
        </w:rPr>
        <w:t>Bilješka 4.</w:t>
      </w:r>
    </w:p>
    <w:p w14:paraId="2F490ADC" w14:textId="77777777" w:rsidR="00864F97" w:rsidRPr="007466EF" w:rsidRDefault="00864F97" w:rsidP="00864F97">
      <w:pPr>
        <w:pStyle w:val="Naslov"/>
        <w:keepNext/>
        <w:rPr>
          <w:b w:val="0"/>
          <w:bCs w:val="0"/>
        </w:rPr>
      </w:pPr>
      <w:r w:rsidRPr="007466EF">
        <w:rPr>
          <w:b w:val="0"/>
          <w:bCs w:val="0"/>
        </w:rPr>
        <w:t>Šifra 6121 do 6125 Porez na dobit</w:t>
      </w:r>
    </w:p>
    <w:p w14:paraId="20326DB2" w14:textId="77E67246" w:rsidR="00864F97" w:rsidRPr="007466EF" w:rsidRDefault="00864F97" w:rsidP="00864F97">
      <w:pPr>
        <w:tabs>
          <w:tab w:val="decimal" w:pos="7380"/>
        </w:tabs>
        <w:jc w:val="both"/>
      </w:pPr>
      <w:r w:rsidRPr="007466EF">
        <w:t>Prihodi od por</w:t>
      </w:r>
      <w:r w:rsidR="00B21B45" w:rsidRPr="007466EF">
        <w:t>eza na dobit ostvareni su u 2024</w:t>
      </w:r>
      <w:r w:rsidR="000F0D22" w:rsidRPr="007466EF">
        <w:t>.</w:t>
      </w:r>
      <w:r w:rsidRPr="007466EF">
        <w:t xml:space="preserve"> u iznosu od 2.</w:t>
      </w:r>
      <w:r w:rsidR="00B21B45" w:rsidRPr="007466EF">
        <w:t>709.007.817,48</w:t>
      </w:r>
      <w:r w:rsidRPr="007466EF">
        <w:t xml:space="preserve"> eura što je povećanje za </w:t>
      </w:r>
      <w:r w:rsidR="00B21B45" w:rsidRPr="007466EF">
        <w:t>15,2</w:t>
      </w:r>
      <w:r w:rsidRPr="007466EF">
        <w:t xml:space="preserve">% u odnosu na ostvarenih </w:t>
      </w:r>
      <w:r w:rsidR="00B21B45" w:rsidRPr="007466EF">
        <w:t>2.351.288.917,58 eura u 2023</w:t>
      </w:r>
      <w:r w:rsidRPr="007466EF">
        <w:t>. Povećanje prihoda rezultat je vrlo dobr</w:t>
      </w:r>
      <w:r w:rsidR="00B21B45" w:rsidRPr="007466EF">
        <w:t>og poslovanja poduzeća u 2023</w:t>
      </w:r>
      <w:r w:rsidRPr="007466EF">
        <w:t xml:space="preserve">., budući se porez na </w:t>
      </w:r>
      <w:r w:rsidR="00A66669" w:rsidRPr="007466EF">
        <w:t xml:space="preserve">dobit u tekućoj godini plaća </w:t>
      </w:r>
      <w:r w:rsidRPr="007466EF">
        <w:t>na temelju poslovanja poduzetnik</w:t>
      </w:r>
      <w:r w:rsidR="00662D87" w:rsidRPr="007466EF">
        <w:t>a prethodne godine.</w:t>
      </w:r>
    </w:p>
    <w:p w14:paraId="261DE6D6" w14:textId="77777777" w:rsidR="00864F97" w:rsidRPr="007466EF" w:rsidRDefault="00864F97" w:rsidP="00864F97"/>
    <w:p w14:paraId="642D75FC" w14:textId="77777777" w:rsidR="00864F97" w:rsidRPr="007466EF" w:rsidRDefault="00864F97" w:rsidP="00864F97">
      <w:pPr>
        <w:pStyle w:val="Naslov"/>
        <w:keepNext/>
        <w:rPr>
          <w:b w:val="0"/>
          <w:bCs w:val="0"/>
        </w:rPr>
      </w:pPr>
      <w:r w:rsidRPr="007466EF">
        <w:rPr>
          <w:b w:val="0"/>
          <w:bCs w:val="0"/>
        </w:rPr>
        <w:t>Bilješka 5.</w:t>
      </w:r>
    </w:p>
    <w:p w14:paraId="3F142102" w14:textId="77777777" w:rsidR="00864F97" w:rsidRPr="007466EF" w:rsidRDefault="00864F97" w:rsidP="00864F97">
      <w:pPr>
        <w:pStyle w:val="Naslov"/>
        <w:keepNext/>
        <w:rPr>
          <w:b w:val="0"/>
          <w:bCs w:val="0"/>
        </w:rPr>
      </w:pPr>
      <w:r w:rsidRPr="007466EF">
        <w:rPr>
          <w:b w:val="0"/>
          <w:bCs w:val="0"/>
        </w:rPr>
        <w:t>Šifra 6141 do 6148 Porezi na robu i usluge</w:t>
      </w:r>
    </w:p>
    <w:p w14:paraId="0243291D" w14:textId="60E3FC9D" w:rsidR="00864F97" w:rsidRPr="007466EF" w:rsidRDefault="00864F97" w:rsidP="00864F97">
      <w:pPr>
        <w:jc w:val="both"/>
        <w:rPr>
          <w:bCs/>
        </w:rPr>
      </w:pPr>
      <w:r w:rsidRPr="007466EF">
        <w:rPr>
          <w:bCs/>
        </w:rPr>
        <w:t>Prihodi od poreza na robu i usluge u 202</w:t>
      </w:r>
      <w:r w:rsidR="005B0C48" w:rsidRPr="007466EF">
        <w:rPr>
          <w:bCs/>
        </w:rPr>
        <w:t>4</w:t>
      </w:r>
      <w:r w:rsidR="000F0D22" w:rsidRPr="007466EF">
        <w:rPr>
          <w:bCs/>
        </w:rPr>
        <w:t>.</w:t>
      </w:r>
      <w:r w:rsidRPr="007466EF">
        <w:rPr>
          <w:bCs/>
        </w:rPr>
        <w:t xml:space="preserve"> ostvareni su u iznosu od </w:t>
      </w:r>
      <w:r w:rsidR="005B0C48" w:rsidRPr="007466EF">
        <w:rPr>
          <w:bCs/>
        </w:rPr>
        <w:t>14.558.645.241,95</w:t>
      </w:r>
      <w:r w:rsidRPr="007466EF">
        <w:rPr>
          <w:bCs/>
        </w:rPr>
        <w:t xml:space="preserve"> eura te su za </w:t>
      </w:r>
      <w:r w:rsidR="005B0C48" w:rsidRPr="007466EF">
        <w:rPr>
          <w:bCs/>
        </w:rPr>
        <w:t>12,4</w:t>
      </w:r>
      <w:r w:rsidRPr="007466EF">
        <w:rPr>
          <w:bCs/>
        </w:rPr>
        <w:t xml:space="preserve">% veći u odnosu na ostvarenje u prethodnom razdoblju. Porezi na robu i usluge obuhvaćaju porez na dodanu vrijednost, porez na promet, posebne poreze i trošarine, poreza na korištenje dobara, ostale poreze na robu i usluge, poreze na dobitke od igara na sreću i naknade za priređivanje igara na sreću.  </w:t>
      </w:r>
    </w:p>
    <w:p w14:paraId="658CF9C7" w14:textId="77777777" w:rsidR="00864F97" w:rsidRPr="007466EF" w:rsidRDefault="00864F97" w:rsidP="00864F97">
      <w:pPr>
        <w:jc w:val="both"/>
        <w:rPr>
          <w:bCs/>
        </w:rPr>
      </w:pPr>
    </w:p>
    <w:p w14:paraId="6C5722A1" w14:textId="51E36881" w:rsidR="00864F97" w:rsidRPr="007466EF" w:rsidRDefault="00864F97" w:rsidP="00864F97">
      <w:pPr>
        <w:jc w:val="both"/>
        <w:rPr>
          <w:bCs/>
        </w:rPr>
      </w:pPr>
      <w:r w:rsidRPr="007466EF">
        <w:rPr>
          <w:bCs/>
        </w:rPr>
        <w:t>Prikupljeni prihodi od poreza na dodanu vrijednost u 202</w:t>
      </w:r>
      <w:r w:rsidR="005B0C48" w:rsidRPr="007466EF">
        <w:rPr>
          <w:bCs/>
        </w:rPr>
        <w:t>4</w:t>
      </w:r>
      <w:r w:rsidR="000F0D22" w:rsidRPr="007466EF">
        <w:rPr>
          <w:bCs/>
        </w:rPr>
        <w:t>.</w:t>
      </w:r>
      <w:r w:rsidRPr="007466EF">
        <w:rPr>
          <w:bCs/>
        </w:rPr>
        <w:t xml:space="preserve"> su veći za </w:t>
      </w:r>
      <w:r w:rsidR="005B0C48" w:rsidRPr="007466EF">
        <w:rPr>
          <w:bCs/>
        </w:rPr>
        <w:t>11,4</w:t>
      </w:r>
      <w:r w:rsidRPr="007466EF">
        <w:rPr>
          <w:bCs/>
        </w:rPr>
        <w:t>% u odnosu na ostvarene prihode u 202</w:t>
      </w:r>
      <w:r w:rsidR="005B0C48" w:rsidRPr="007466EF">
        <w:rPr>
          <w:bCs/>
        </w:rPr>
        <w:t>3</w:t>
      </w:r>
      <w:r w:rsidRPr="007466EF">
        <w:rPr>
          <w:bCs/>
        </w:rPr>
        <w:t xml:space="preserve">., a rezultat su </w:t>
      </w:r>
      <w:r w:rsidR="00BC1660" w:rsidRPr="007466EF">
        <w:rPr>
          <w:bCs/>
        </w:rPr>
        <w:t xml:space="preserve">nominalnog </w:t>
      </w:r>
      <w:r w:rsidRPr="007466EF">
        <w:rPr>
          <w:bCs/>
        </w:rPr>
        <w:t xml:space="preserve">rasta osobne i turističke potrošnje, prethodno spomenutih poreznih rasterećenja te kretanja cijena. Naime, promet u trgovini na malo povećan je u nominalnim iznosima </w:t>
      </w:r>
      <w:r w:rsidR="00BC1660" w:rsidRPr="007466EF">
        <w:rPr>
          <w:bCs/>
        </w:rPr>
        <w:t>9,8%</w:t>
      </w:r>
      <w:r w:rsidRPr="007466EF">
        <w:rPr>
          <w:bCs/>
        </w:rPr>
        <w:t xml:space="preserve"> u 202</w:t>
      </w:r>
      <w:r w:rsidR="005B0C48" w:rsidRPr="007466EF">
        <w:rPr>
          <w:bCs/>
        </w:rPr>
        <w:t>4</w:t>
      </w:r>
      <w:r w:rsidR="000F0D22" w:rsidRPr="007466EF">
        <w:rPr>
          <w:bCs/>
        </w:rPr>
        <w:t>.</w:t>
      </w:r>
      <w:r w:rsidRPr="007466EF">
        <w:rPr>
          <w:bCs/>
        </w:rPr>
        <w:t>, a turistička sezona bila je vrlo dobra.</w:t>
      </w:r>
    </w:p>
    <w:p w14:paraId="65D87B70" w14:textId="77777777" w:rsidR="00864F97" w:rsidRPr="007466EF" w:rsidRDefault="00864F97" w:rsidP="00864F97">
      <w:pPr>
        <w:jc w:val="both"/>
        <w:rPr>
          <w:bCs/>
        </w:rPr>
      </w:pPr>
    </w:p>
    <w:p w14:paraId="3D0468C1" w14:textId="11EDB9B7" w:rsidR="00864F97" w:rsidRPr="007466EF" w:rsidRDefault="00864F97" w:rsidP="00864F97">
      <w:pPr>
        <w:jc w:val="both"/>
        <w:rPr>
          <w:bCs/>
        </w:rPr>
      </w:pPr>
      <w:r w:rsidRPr="007466EF">
        <w:rPr>
          <w:bCs/>
        </w:rPr>
        <w:t>Prikupljeni prihodi od trošarina i posebnih poreza u 202</w:t>
      </w:r>
      <w:r w:rsidR="005B0C48" w:rsidRPr="007466EF">
        <w:rPr>
          <w:bCs/>
        </w:rPr>
        <w:t>4</w:t>
      </w:r>
      <w:r w:rsidRPr="007466EF">
        <w:rPr>
          <w:bCs/>
        </w:rPr>
        <w:t xml:space="preserve">. su ostvareni za </w:t>
      </w:r>
      <w:r w:rsidR="005B0C48" w:rsidRPr="007466EF">
        <w:rPr>
          <w:bCs/>
        </w:rPr>
        <w:t>16,6</w:t>
      </w:r>
      <w:r w:rsidRPr="007466EF">
        <w:rPr>
          <w:bCs/>
        </w:rPr>
        <w:t>% više u odnosu na ostvarenje 202</w:t>
      </w:r>
      <w:r w:rsidR="005B0C48" w:rsidRPr="007466EF">
        <w:rPr>
          <w:bCs/>
        </w:rPr>
        <w:t>3</w:t>
      </w:r>
      <w:r w:rsidR="000F0D22" w:rsidRPr="007466EF">
        <w:rPr>
          <w:bCs/>
        </w:rPr>
        <w:t>.</w:t>
      </w:r>
      <w:r w:rsidRPr="007466EF">
        <w:rPr>
          <w:bCs/>
        </w:rPr>
        <w:t xml:space="preserve"> pod utjecajem rasta gospodarske aktivnosti, koji je rezultirao povećanjem intenziteta prometa i potrošnje trošarinskih proizvoda. Sukladno tome, </w:t>
      </w:r>
      <w:r w:rsidR="0075783E" w:rsidRPr="007466EF">
        <w:rPr>
          <w:bCs/>
        </w:rPr>
        <w:t>svi</w:t>
      </w:r>
      <w:r w:rsidRPr="007466EF">
        <w:rPr>
          <w:bCs/>
        </w:rPr>
        <w:t xml:space="preserve"> trošarinski prihod</w:t>
      </w:r>
      <w:r w:rsidR="0075783E" w:rsidRPr="007466EF">
        <w:rPr>
          <w:bCs/>
        </w:rPr>
        <w:t>i</w:t>
      </w:r>
      <w:r w:rsidRPr="007466EF">
        <w:rPr>
          <w:bCs/>
        </w:rPr>
        <w:t xml:space="preserve"> u 202</w:t>
      </w:r>
      <w:r w:rsidR="005B0C48" w:rsidRPr="007466EF">
        <w:rPr>
          <w:bCs/>
        </w:rPr>
        <w:t>4</w:t>
      </w:r>
      <w:r w:rsidR="000F0D22" w:rsidRPr="007466EF">
        <w:rPr>
          <w:bCs/>
        </w:rPr>
        <w:t>.</w:t>
      </w:r>
      <w:r w:rsidRPr="007466EF">
        <w:rPr>
          <w:bCs/>
        </w:rPr>
        <w:t xml:space="preserve"> zabilježi</w:t>
      </w:r>
      <w:r w:rsidR="0075783E" w:rsidRPr="007466EF">
        <w:rPr>
          <w:bCs/>
        </w:rPr>
        <w:t>li</w:t>
      </w:r>
      <w:r w:rsidRPr="007466EF">
        <w:rPr>
          <w:bCs/>
        </w:rPr>
        <w:t xml:space="preserve"> </w:t>
      </w:r>
      <w:r w:rsidR="0075783E" w:rsidRPr="007466EF">
        <w:rPr>
          <w:bCs/>
        </w:rPr>
        <w:t>su</w:t>
      </w:r>
      <w:r w:rsidR="00A66669" w:rsidRPr="007466EF">
        <w:rPr>
          <w:bCs/>
        </w:rPr>
        <w:t xml:space="preserve"> međugodišnji rast.</w:t>
      </w:r>
    </w:p>
    <w:p w14:paraId="6D33919F" w14:textId="26BEF73B" w:rsidR="00864F97" w:rsidRPr="007466EF" w:rsidRDefault="00864F97" w:rsidP="007466EF"/>
    <w:p w14:paraId="6E6674F9" w14:textId="77777777" w:rsidR="00864F97" w:rsidRPr="007466EF" w:rsidRDefault="00864F97" w:rsidP="00864F97">
      <w:pPr>
        <w:pStyle w:val="Naslov"/>
        <w:keepNext/>
        <w:rPr>
          <w:b w:val="0"/>
          <w:bCs w:val="0"/>
        </w:rPr>
      </w:pPr>
      <w:r w:rsidRPr="007466EF">
        <w:rPr>
          <w:b w:val="0"/>
          <w:bCs w:val="0"/>
        </w:rPr>
        <w:t>Bilješka 6.</w:t>
      </w:r>
    </w:p>
    <w:p w14:paraId="6BA26A2B" w14:textId="77777777" w:rsidR="00864F97" w:rsidRPr="007466EF" w:rsidRDefault="00864F97" w:rsidP="00864F97">
      <w:pPr>
        <w:pStyle w:val="Naslov"/>
        <w:keepNext/>
        <w:rPr>
          <w:b w:val="0"/>
          <w:bCs w:val="0"/>
        </w:rPr>
      </w:pPr>
      <w:r w:rsidRPr="007466EF">
        <w:rPr>
          <w:b w:val="0"/>
          <w:bCs w:val="0"/>
        </w:rPr>
        <w:t>Šifra 62 Doprinosi</w:t>
      </w:r>
    </w:p>
    <w:p w14:paraId="50CFDB3F" w14:textId="054C7D5E" w:rsidR="00864F97" w:rsidRDefault="00864F97" w:rsidP="00864F97">
      <w:pPr>
        <w:spacing w:after="120"/>
        <w:jc w:val="both"/>
      </w:pPr>
      <w:r w:rsidRPr="007466EF">
        <w:t>Uplate koje su evidentirane na prihodima od doprinosa za zapošljavanje odnose se na uplate s osnova dugovanja po osnovi doprinosa za zapošljavanje, budući da je isti uk</w:t>
      </w:r>
      <w:r w:rsidR="000F0D22" w:rsidRPr="007466EF">
        <w:t>inut od 1. siječnja 2019</w:t>
      </w:r>
      <w:r w:rsidRPr="007466EF">
        <w:t>. Prih</w:t>
      </w:r>
      <w:r w:rsidR="000F0D22" w:rsidRPr="007466EF">
        <w:t xml:space="preserve">odi od doprinosa u 2024. </w:t>
      </w:r>
      <w:r w:rsidRPr="007466EF">
        <w:t>ostvareni su u iznosu od 808.952,76 eura te bilježe međugodišnje sm</w:t>
      </w:r>
      <w:r w:rsidR="000F0D22" w:rsidRPr="007466EF">
        <w:t>anjenje u odnosu na 2023.</w:t>
      </w:r>
      <w:r w:rsidRPr="007466EF">
        <w:t xml:space="preserve"> kada su ostvareni</w:t>
      </w:r>
      <w:r w:rsidR="007466EF">
        <w:t xml:space="preserve"> u iznosu od 1.220.911,03 eura.</w:t>
      </w:r>
    </w:p>
    <w:p w14:paraId="6272443B" w14:textId="77777777" w:rsidR="007466EF" w:rsidRPr="007466EF" w:rsidRDefault="007466EF" w:rsidP="007466EF"/>
    <w:p w14:paraId="511AE1D1" w14:textId="77777777" w:rsidR="00864F97" w:rsidRPr="007466EF" w:rsidRDefault="00864F97" w:rsidP="00864F97">
      <w:pPr>
        <w:pStyle w:val="Naslov"/>
        <w:keepNext/>
        <w:rPr>
          <w:b w:val="0"/>
          <w:bCs w:val="0"/>
        </w:rPr>
      </w:pPr>
      <w:r w:rsidRPr="007466EF">
        <w:rPr>
          <w:b w:val="0"/>
          <w:bCs w:val="0"/>
        </w:rPr>
        <w:t>Bilješka 7.</w:t>
      </w:r>
    </w:p>
    <w:p w14:paraId="0F55F847" w14:textId="77777777" w:rsidR="00864F97" w:rsidRPr="007466EF" w:rsidRDefault="00864F97" w:rsidP="00864F97">
      <w:pPr>
        <w:pStyle w:val="Naslov"/>
        <w:keepNext/>
        <w:rPr>
          <w:b w:val="0"/>
          <w:bCs w:val="0"/>
          <w:color w:val="FF0000"/>
        </w:rPr>
      </w:pPr>
      <w:r w:rsidRPr="007466EF">
        <w:rPr>
          <w:b w:val="0"/>
          <w:bCs w:val="0"/>
        </w:rPr>
        <w:t>Šifra 6323 Tekuće pomoći od institucija i tijela EU, Šifra 6324 Kapitalne pomoći od institucija i tijela EU</w:t>
      </w:r>
    </w:p>
    <w:p w14:paraId="70227E1A" w14:textId="0B25B38B" w:rsidR="00864F97" w:rsidRPr="007466EF" w:rsidRDefault="00864F97" w:rsidP="00864F97">
      <w:pPr>
        <w:jc w:val="both"/>
      </w:pPr>
      <w:r w:rsidRPr="007466EF">
        <w:t xml:space="preserve">U financijskom izvještaju državnog proračuna na šifri 6323 </w:t>
      </w:r>
      <w:r w:rsidRPr="007466EF">
        <w:rPr>
          <w:i/>
        </w:rPr>
        <w:t>Tekuće pomoći od institucija i tijela EU</w:t>
      </w:r>
      <w:r w:rsidRPr="007466EF">
        <w:t xml:space="preserve"> i 6324 </w:t>
      </w:r>
      <w:r w:rsidRPr="007466EF">
        <w:rPr>
          <w:i/>
        </w:rPr>
        <w:t>Kapitalne pomoći od institucija i tijela EU</w:t>
      </w:r>
      <w:r w:rsidRPr="007466EF">
        <w:t xml:space="preserve"> iskazani su samo prihodi od refundacije iz pomoći EU kod EU projekata koji se prvotno financiraju iz nacionalnih sredstava, a nakon odobravanja isplaćenih troškova projekta sredstva se refundiraju u visini priznatih troškova (Izvor financiranja 55 </w:t>
      </w:r>
      <w:r w:rsidRPr="007466EF">
        <w:rPr>
          <w:i/>
        </w:rPr>
        <w:t>Refundacije iz pomoći EU</w:t>
      </w:r>
      <w:r w:rsidRPr="007466EF">
        <w:t xml:space="preserve">). Navedeno se odnosi na izravna plaćanja poljoprivrednim proizvođačima (Europskog poljoprivrednog jamstvenog fonda), projekte koje provodi Državni zavod za statistiku u statističkim programima Europske komisije, </w:t>
      </w:r>
      <w:r w:rsidR="00A66669" w:rsidRPr="007466EF">
        <w:t>pojedine</w:t>
      </w:r>
      <w:r w:rsidRPr="007466EF">
        <w:t xml:space="preserve"> </w:t>
      </w:r>
      <w:r w:rsidRPr="007466EF">
        <w:lastRenderedPageBreak/>
        <w:t>projekte prekogranične suradnje i drugo. Obzirom na to da sredstva koja se naknadno refundiraju na račun državnog proračuna korisnik ne može više koristiti evidentiraju se kao prihod državnog proračuna, a ne kao prihod proračunskog korisnika. Proračunski korisnici prihode na šiframa ovih prihoda evidentiraju za projekte koje provode iz europskih strukturnih i investicijskih fondova nami</w:t>
      </w:r>
      <w:r w:rsidR="00A66669" w:rsidRPr="007466EF">
        <w:t>jenjenim sufinanciranju provedbe</w:t>
      </w:r>
      <w:r w:rsidRPr="007466EF">
        <w:t xml:space="preserve"> strateških ciljeva i prioriteta definiranih operativnim programima za određeno proračunsko razdoblje.</w:t>
      </w:r>
    </w:p>
    <w:p w14:paraId="764CA221" w14:textId="77777777" w:rsidR="00864F97" w:rsidRPr="007466EF" w:rsidRDefault="00864F97" w:rsidP="00864F97">
      <w:pPr>
        <w:tabs>
          <w:tab w:val="decimal" w:pos="7380"/>
        </w:tabs>
        <w:jc w:val="both"/>
      </w:pPr>
    </w:p>
    <w:p w14:paraId="74F4C166" w14:textId="7FAA924D" w:rsidR="00864F97" w:rsidRPr="007466EF" w:rsidRDefault="00864F97" w:rsidP="00864F97">
      <w:pPr>
        <w:tabs>
          <w:tab w:val="decimal" w:pos="7380"/>
        </w:tabs>
        <w:jc w:val="both"/>
        <w:rPr>
          <w:color w:val="FF0000"/>
        </w:rPr>
      </w:pPr>
      <w:r w:rsidRPr="007466EF">
        <w:t>Prihodi od tekućih pomoći od institucija i tijela EU u 202</w:t>
      </w:r>
      <w:r w:rsidR="005B0C48" w:rsidRPr="007466EF">
        <w:t>4</w:t>
      </w:r>
      <w:r w:rsidRPr="007466EF">
        <w:t xml:space="preserve">. su ostvareni u iznosu od </w:t>
      </w:r>
      <w:r w:rsidR="005B0C48" w:rsidRPr="007466EF">
        <w:t>438.216.994,04</w:t>
      </w:r>
      <w:r w:rsidRPr="007466EF">
        <w:t xml:space="preserve"> eura što je </w:t>
      </w:r>
      <w:r w:rsidR="005B0C48" w:rsidRPr="007466EF">
        <w:t>smanjenje</w:t>
      </w:r>
      <w:r w:rsidRPr="007466EF">
        <w:t xml:space="preserve"> za </w:t>
      </w:r>
      <w:r w:rsidR="005B0C48" w:rsidRPr="007466EF">
        <w:t>4,7</w:t>
      </w:r>
      <w:r w:rsidRPr="007466EF">
        <w:t xml:space="preserve">% u odnosu na </w:t>
      </w:r>
      <w:r w:rsidR="005B0C48" w:rsidRPr="007466EF">
        <w:t>459.673.820,60</w:t>
      </w:r>
      <w:r w:rsidRPr="007466EF">
        <w:t xml:space="preserve"> eura ostvarenih u 202</w:t>
      </w:r>
      <w:r w:rsidR="005B0C48" w:rsidRPr="007466EF">
        <w:t>3</w:t>
      </w:r>
      <w:r w:rsidRPr="007466EF">
        <w:t>. Od ukupnog iznosa tekućih pomoći od EU evidentir</w:t>
      </w:r>
      <w:r w:rsidR="008B10C3" w:rsidRPr="007466EF">
        <w:t xml:space="preserve">anog u okviru navedenog prihoda </w:t>
      </w:r>
      <w:r w:rsidR="00B300EE" w:rsidRPr="007466EF">
        <w:t xml:space="preserve">-371.808.187,11 </w:t>
      </w:r>
      <w:r w:rsidRPr="007466EF">
        <w:t xml:space="preserve">eura odnosi </w:t>
      </w:r>
      <w:r w:rsidR="008B10C3" w:rsidRPr="007466EF">
        <w:t xml:space="preserve">se </w:t>
      </w:r>
      <w:r w:rsidRPr="007466EF">
        <w:t>na refundacije Europskog poljoprivrednog jamstvenog fonda (EPJF)</w:t>
      </w:r>
      <w:r w:rsidR="00B300EE" w:rsidRPr="007466EF">
        <w:t>.</w:t>
      </w:r>
    </w:p>
    <w:p w14:paraId="6CAC582B" w14:textId="77777777" w:rsidR="00864F97" w:rsidRPr="007466EF" w:rsidRDefault="00864F97" w:rsidP="00864F97">
      <w:pPr>
        <w:tabs>
          <w:tab w:val="decimal" w:pos="7380"/>
        </w:tabs>
        <w:jc w:val="both"/>
      </w:pPr>
    </w:p>
    <w:p w14:paraId="7C2FFCF3" w14:textId="40658CCD" w:rsidR="00D50C65" w:rsidRPr="007466EF" w:rsidRDefault="00864F97" w:rsidP="00864F97">
      <w:pPr>
        <w:tabs>
          <w:tab w:val="decimal" w:pos="7380"/>
        </w:tabs>
        <w:jc w:val="both"/>
      </w:pPr>
      <w:r w:rsidRPr="007466EF">
        <w:t>Prihodi od kapitalnih pomoći od institucija i tijela EU u 202</w:t>
      </w:r>
      <w:r w:rsidR="005B0C48" w:rsidRPr="007466EF">
        <w:t>4</w:t>
      </w:r>
      <w:r w:rsidR="00237122" w:rsidRPr="007466EF">
        <w:t>.</w:t>
      </w:r>
      <w:r w:rsidRPr="007466EF">
        <w:t xml:space="preserve"> su ostvareni u iznosu od </w:t>
      </w:r>
      <w:r w:rsidR="005B0C48" w:rsidRPr="007466EF">
        <w:t>7.267.893,66</w:t>
      </w:r>
      <w:r w:rsidRPr="007466EF">
        <w:t xml:space="preserve"> eura, što je </w:t>
      </w:r>
      <w:r w:rsidR="005B0C48" w:rsidRPr="007466EF">
        <w:t>68,7</w:t>
      </w:r>
      <w:r w:rsidRPr="007466EF">
        <w:t xml:space="preserve">% više u odnosu na </w:t>
      </w:r>
      <w:r w:rsidR="005B0C48" w:rsidRPr="007466EF">
        <w:t xml:space="preserve">4.307.639,07 </w:t>
      </w:r>
      <w:r w:rsidRPr="007466EF">
        <w:t>eura ostvarenih u 202</w:t>
      </w:r>
      <w:r w:rsidR="005B0C48" w:rsidRPr="007466EF">
        <w:t>3</w:t>
      </w:r>
      <w:r w:rsidR="00D50C65" w:rsidRPr="007466EF">
        <w:t>. Od ukupnog iznosa kapitalnih pomoći od institucija i tijela EU, 3,9 milijuna eura odnosi se na refundaciju sredstava Izvršne agencije za inovacije i mreže (INEA).</w:t>
      </w:r>
    </w:p>
    <w:p w14:paraId="12D75BE2" w14:textId="6AECA48C" w:rsidR="00A66669" w:rsidRPr="007466EF" w:rsidRDefault="00A66669" w:rsidP="007466EF"/>
    <w:p w14:paraId="13717896" w14:textId="540B1DE2" w:rsidR="00A66669" w:rsidRPr="007466EF" w:rsidRDefault="00A66669" w:rsidP="00A66669">
      <w:pPr>
        <w:tabs>
          <w:tab w:val="decimal" w:pos="7380"/>
        </w:tabs>
        <w:jc w:val="center"/>
        <w:rPr>
          <w:sz w:val="28"/>
          <w:szCs w:val="28"/>
        </w:rPr>
      </w:pPr>
      <w:r w:rsidRPr="007466EF">
        <w:rPr>
          <w:sz w:val="28"/>
          <w:szCs w:val="28"/>
        </w:rPr>
        <w:t>Bilješka 8.</w:t>
      </w:r>
    </w:p>
    <w:p w14:paraId="7B959E32" w14:textId="4642B51D" w:rsidR="00A66669" w:rsidRPr="007466EF" w:rsidRDefault="00A66669" w:rsidP="00A66669">
      <w:pPr>
        <w:pStyle w:val="Naslov"/>
        <w:keepNext/>
        <w:rPr>
          <w:b w:val="0"/>
          <w:bCs w:val="0"/>
        </w:rPr>
      </w:pPr>
      <w:r w:rsidRPr="007466EF">
        <w:rPr>
          <w:b w:val="0"/>
          <w:bCs w:val="0"/>
        </w:rPr>
        <w:t>Šifra 6372 Povrat pomoći danih unutar općeg proračuna po protestiranim jamstvima</w:t>
      </w:r>
    </w:p>
    <w:p w14:paraId="5CC18E6D" w14:textId="49AC8FE5" w:rsidR="00A66669" w:rsidRPr="007466EF" w:rsidRDefault="00553092" w:rsidP="00553092">
      <w:pPr>
        <w:pStyle w:val="Naslov"/>
        <w:keepNext/>
        <w:jc w:val="both"/>
        <w:rPr>
          <w:b w:val="0"/>
          <w:bCs w:val="0"/>
          <w:sz w:val="24"/>
        </w:rPr>
      </w:pPr>
      <w:r w:rsidRPr="007466EF">
        <w:rPr>
          <w:b w:val="0"/>
          <w:bCs w:val="0"/>
          <w:sz w:val="24"/>
        </w:rPr>
        <w:t>U 2024. ostvareno je 1.380.747,54 eura prihoda od povrata pomoći danih unutar općeg proračuna po protestiranim jamstvima, što je za 383,3% više u odnosu na 285.687,21 eura ostvarenih u 2023. Povećanje prihoda u 2024. u odnosu na 2023. je značajno veće uslijed poduzimanja pravnih radnji za naplatom potraživanja (ponovnim slanjem zadužnica na naplatu, kontaktiranjem korisnika, jednokratnom uplatom glavnica od strane korisnika ili slično) po protestiranim jamstvima iz prethodnih godina isplaćenih iz državnog proračuna a za čiju je naplatu zadužena Hrvatska agencija za malo gospodarstvo, inovacije i investicije (HAMAG-BICRO).</w:t>
      </w:r>
    </w:p>
    <w:p w14:paraId="7612C4C3" w14:textId="77777777" w:rsidR="00A66669" w:rsidRPr="007466EF" w:rsidRDefault="00A66669" w:rsidP="007466EF"/>
    <w:p w14:paraId="62ECE94D" w14:textId="68C90DFC" w:rsidR="00864F97" w:rsidRPr="007466EF" w:rsidRDefault="00553092" w:rsidP="00864F97">
      <w:pPr>
        <w:pStyle w:val="Naslov"/>
        <w:keepNext/>
        <w:rPr>
          <w:b w:val="0"/>
          <w:bCs w:val="0"/>
        </w:rPr>
      </w:pPr>
      <w:r w:rsidRPr="007466EF">
        <w:rPr>
          <w:b w:val="0"/>
          <w:bCs w:val="0"/>
        </w:rPr>
        <w:t>Bilješka 9</w:t>
      </w:r>
      <w:r w:rsidR="00864F97" w:rsidRPr="007466EF">
        <w:rPr>
          <w:b w:val="0"/>
          <w:bCs w:val="0"/>
        </w:rPr>
        <w:t xml:space="preserve">. </w:t>
      </w:r>
    </w:p>
    <w:p w14:paraId="35BF1D45" w14:textId="77777777" w:rsidR="00864F97" w:rsidRPr="007466EF" w:rsidRDefault="00864F97" w:rsidP="00864F97">
      <w:pPr>
        <w:pStyle w:val="Naslov"/>
        <w:keepNext/>
        <w:rPr>
          <w:b w:val="0"/>
          <w:bCs w:val="0"/>
        </w:rPr>
      </w:pPr>
      <w:r w:rsidRPr="007466EF">
        <w:rPr>
          <w:b w:val="0"/>
          <w:bCs w:val="0"/>
        </w:rPr>
        <w:t>Šifra 6413 Kamate na oročena sredstva i depozite po viđenju</w:t>
      </w:r>
    </w:p>
    <w:p w14:paraId="3801AA31" w14:textId="2763F109" w:rsidR="00872B52" w:rsidRPr="007466EF" w:rsidRDefault="00864F97" w:rsidP="007466EF">
      <w:pPr>
        <w:jc w:val="both"/>
        <w:rPr>
          <w:color w:val="000000"/>
        </w:rPr>
      </w:pPr>
      <w:r w:rsidRPr="007466EF">
        <w:rPr>
          <w:color w:val="000000"/>
        </w:rPr>
        <w:t xml:space="preserve">Prihodi od kamata na oročena sredstva i depozite po viđenju </w:t>
      </w:r>
      <w:r w:rsidR="00E7039C" w:rsidRPr="007466EF">
        <w:rPr>
          <w:color w:val="000000"/>
        </w:rPr>
        <w:t xml:space="preserve">u 2024. </w:t>
      </w:r>
      <w:r w:rsidRPr="007466EF">
        <w:rPr>
          <w:color w:val="000000"/>
        </w:rPr>
        <w:t xml:space="preserve">ostvareni su u iznosu od </w:t>
      </w:r>
      <w:r w:rsidR="00985C57" w:rsidRPr="007466EF">
        <w:rPr>
          <w:color w:val="000000"/>
        </w:rPr>
        <w:t>120.425.175,00</w:t>
      </w:r>
      <w:r w:rsidR="00E7039C" w:rsidRPr="007466EF">
        <w:rPr>
          <w:color w:val="000000"/>
        </w:rPr>
        <w:t xml:space="preserve"> eura, dok su u</w:t>
      </w:r>
      <w:r w:rsidR="00985C57" w:rsidRPr="007466EF">
        <w:rPr>
          <w:color w:val="000000"/>
        </w:rPr>
        <w:t xml:space="preserve"> 2023</w:t>
      </w:r>
      <w:r w:rsidR="00E7039C" w:rsidRPr="007466EF">
        <w:rPr>
          <w:color w:val="000000"/>
        </w:rPr>
        <w:t>.</w:t>
      </w:r>
      <w:r w:rsidRPr="007466EF">
        <w:rPr>
          <w:color w:val="000000"/>
        </w:rPr>
        <w:t xml:space="preserve"> ostvareni u iznosu od </w:t>
      </w:r>
      <w:r w:rsidR="00985C57" w:rsidRPr="007466EF">
        <w:rPr>
          <w:color w:val="000000"/>
        </w:rPr>
        <w:t xml:space="preserve">91.267.596,31 </w:t>
      </w:r>
      <w:r w:rsidRPr="007466EF">
        <w:rPr>
          <w:color w:val="000000"/>
        </w:rPr>
        <w:t xml:space="preserve">eura što predstavlja povećanje od </w:t>
      </w:r>
      <w:r w:rsidR="00985C57" w:rsidRPr="007466EF">
        <w:rPr>
          <w:color w:val="000000"/>
        </w:rPr>
        <w:t>31,9</w:t>
      </w:r>
      <w:r w:rsidRPr="007466EF">
        <w:rPr>
          <w:color w:val="000000"/>
        </w:rPr>
        <w:t>% u promatranom razdoblju</w:t>
      </w:r>
      <w:r w:rsidR="00872B52" w:rsidRPr="007466EF">
        <w:rPr>
          <w:color w:val="000000"/>
        </w:rPr>
        <w:t xml:space="preserve">. </w:t>
      </w:r>
      <w:r w:rsidR="00A66669" w:rsidRPr="007466EF">
        <w:rPr>
          <w:color w:val="000000"/>
        </w:rPr>
        <w:t>Navedeni prihod odnosi se na kamate</w:t>
      </w:r>
      <w:r w:rsidR="00872B52" w:rsidRPr="007466EF">
        <w:rPr>
          <w:color w:val="000000"/>
        </w:rPr>
        <w:t xml:space="preserve"> na depozite po viđenju, ostvaren</w:t>
      </w:r>
      <w:r w:rsidR="00A66669" w:rsidRPr="007466EF">
        <w:rPr>
          <w:color w:val="000000"/>
        </w:rPr>
        <w:t>e</w:t>
      </w:r>
      <w:r w:rsidR="00872B52" w:rsidRPr="007466EF">
        <w:rPr>
          <w:color w:val="000000"/>
        </w:rPr>
        <w:t xml:space="preserve"> primjenom kamatnih stopa obračunatih na sredstva državnog proračuna na jedinstvenom računu državnog proračuna i drugim računima Republike Hrvatske kod Hrvatske narodne banke, a sukladno Odluci o kamatnim stopama na novčana sredstva kod Hrvatske narodne banke koja se ne odnose na operacije monetarne politike.</w:t>
      </w:r>
    </w:p>
    <w:p w14:paraId="2FCDBA87" w14:textId="77777777" w:rsidR="00872B52" w:rsidRPr="007466EF" w:rsidRDefault="00872B52" w:rsidP="00872B52"/>
    <w:p w14:paraId="4E9AF456" w14:textId="74B013D8" w:rsidR="00864F97" w:rsidRPr="007466EF" w:rsidRDefault="00553092" w:rsidP="00864F97">
      <w:pPr>
        <w:pStyle w:val="Naslov"/>
        <w:keepNext/>
        <w:rPr>
          <w:b w:val="0"/>
          <w:bCs w:val="0"/>
        </w:rPr>
      </w:pPr>
      <w:r w:rsidRPr="007466EF">
        <w:rPr>
          <w:b w:val="0"/>
          <w:bCs w:val="0"/>
        </w:rPr>
        <w:t>Bilješka 10</w:t>
      </w:r>
      <w:r w:rsidR="00864F97" w:rsidRPr="007466EF">
        <w:rPr>
          <w:b w:val="0"/>
          <w:bCs w:val="0"/>
        </w:rPr>
        <w:t xml:space="preserve">. </w:t>
      </w:r>
    </w:p>
    <w:p w14:paraId="299C6F2B" w14:textId="77777777" w:rsidR="00864F97" w:rsidRPr="007466EF" w:rsidRDefault="00864F97" w:rsidP="00864F97">
      <w:pPr>
        <w:pStyle w:val="Naslov"/>
        <w:keepNext/>
        <w:rPr>
          <w:b w:val="0"/>
          <w:bCs w:val="0"/>
        </w:rPr>
      </w:pPr>
      <w:r w:rsidRPr="007466EF">
        <w:rPr>
          <w:b w:val="0"/>
          <w:bCs w:val="0"/>
        </w:rPr>
        <w:t>Šifra 6414 Prihodi od zateznih kamata</w:t>
      </w:r>
    </w:p>
    <w:p w14:paraId="48AA0ACE" w14:textId="17D217A2" w:rsidR="00864F97" w:rsidRPr="007466EF" w:rsidRDefault="00864F97" w:rsidP="00864F97">
      <w:pPr>
        <w:pStyle w:val="Naslov"/>
        <w:keepNext/>
        <w:jc w:val="both"/>
        <w:rPr>
          <w:b w:val="0"/>
          <w:bCs w:val="0"/>
          <w:sz w:val="24"/>
        </w:rPr>
      </w:pPr>
      <w:r w:rsidRPr="007466EF">
        <w:rPr>
          <w:b w:val="0"/>
          <w:bCs w:val="0"/>
          <w:sz w:val="24"/>
        </w:rPr>
        <w:t>Prihodi od zateznih kamata u 202</w:t>
      </w:r>
      <w:r w:rsidR="00985C57" w:rsidRPr="007466EF">
        <w:rPr>
          <w:b w:val="0"/>
          <w:bCs w:val="0"/>
          <w:sz w:val="24"/>
        </w:rPr>
        <w:t>4</w:t>
      </w:r>
      <w:r w:rsidR="00E84A7E" w:rsidRPr="007466EF">
        <w:rPr>
          <w:b w:val="0"/>
          <w:bCs w:val="0"/>
          <w:sz w:val="24"/>
        </w:rPr>
        <w:t xml:space="preserve">. </w:t>
      </w:r>
      <w:r w:rsidRPr="007466EF">
        <w:rPr>
          <w:b w:val="0"/>
          <w:bCs w:val="0"/>
          <w:sz w:val="24"/>
        </w:rPr>
        <w:t xml:space="preserve">ostvareni su u iznosu od </w:t>
      </w:r>
      <w:r w:rsidR="00985C57" w:rsidRPr="007466EF">
        <w:rPr>
          <w:b w:val="0"/>
          <w:bCs w:val="0"/>
          <w:sz w:val="24"/>
        </w:rPr>
        <w:t>38.929.697,26</w:t>
      </w:r>
      <w:r w:rsidRPr="007466EF">
        <w:rPr>
          <w:b w:val="0"/>
          <w:bCs w:val="0"/>
          <w:sz w:val="24"/>
        </w:rPr>
        <w:t xml:space="preserve"> eura, dok su u 202</w:t>
      </w:r>
      <w:r w:rsidR="00985C57" w:rsidRPr="007466EF">
        <w:rPr>
          <w:b w:val="0"/>
          <w:bCs w:val="0"/>
          <w:sz w:val="24"/>
        </w:rPr>
        <w:t>3</w:t>
      </w:r>
      <w:r w:rsidR="00E84A7E" w:rsidRPr="007466EF">
        <w:rPr>
          <w:b w:val="0"/>
          <w:bCs w:val="0"/>
          <w:sz w:val="24"/>
        </w:rPr>
        <w:t xml:space="preserve">. </w:t>
      </w:r>
      <w:r w:rsidRPr="007466EF">
        <w:rPr>
          <w:b w:val="0"/>
          <w:bCs w:val="0"/>
          <w:sz w:val="24"/>
        </w:rPr>
        <w:t xml:space="preserve">ostvareni u iznosu od </w:t>
      </w:r>
      <w:r w:rsidR="00985C57" w:rsidRPr="007466EF">
        <w:rPr>
          <w:b w:val="0"/>
          <w:bCs w:val="0"/>
          <w:sz w:val="24"/>
        </w:rPr>
        <w:t xml:space="preserve">33.903.526,82 </w:t>
      </w:r>
      <w:r w:rsidRPr="007466EF">
        <w:rPr>
          <w:b w:val="0"/>
          <w:bCs w:val="0"/>
          <w:sz w:val="24"/>
        </w:rPr>
        <w:t xml:space="preserve">eura što predstavlja povećanje od </w:t>
      </w:r>
      <w:r w:rsidR="00985C57" w:rsidRPr="007466EF">
        <w:rPr>
          <w:b w:val="0"/>
          <w:bCs w:val="0"/>
          <w:sz w:val="24"/>
        </w:rPr>
        <w:t>14,8</w:t>
      </w:r>
      <w:r w:rsidRPr="007466EF">
        <w:rPr>
          <w:b w:val="0"/>
          <w:bCs w:val="0"/>
          <w:sz w:val="24"/>
        </w:rPr>
        <w:t>% u promatranom razdoblju.</w:t>
      </w:r>
      <w:r w:rsidR="00EF0E26" w:rsidRPr="007466EF">
        <w:rPr>
          <w:b w:val="0"/>
          <w:sz w:val="24"/>
        </w:rPr>
        <w:t xml:space="preserve"> </w:t>
      </w:r>
      <w:r w:rsidR="00A66669" w:rsidRPr="007466EF">
        <w:rPr>
          <w:b w:val="0"/>
          <w:sz w:val="24"/>
        </w:rPr>
        <w:t>Najvećim dijelom</w:t>
      </w:r>
      <w:r w:rsidRPr="007466EF">
        <w:rPr>
          <w:b w:val="0"/>
          <w:bCs w:val="0"/>
          <w:sz w:val="24"/>
        </w:rPr>
        <w:t xml:space="preserve"> iznos naplaćenih prihoda na ime zateznih kamata u promatranom razdoblju proizlazi iz odredbe Općeg poreznog zakona (Narodne novine, broj 115/16</w:t>
      </w:r>
      <w:r w:rsidR="00EF0E26" w:rsidRPr="007466EF">
        <w:rPr>
          <w:b w:val="0"/>
          <w:bCs w:val="0"/>
          <w:sz w:val="24"/>
        </w:rPr>
        <w:t>.</w:t>
      </w:r>
      <w:r w:rsidRPr="007466EF">
        <w:rPr>
          <w:b w:val="0"/>
          <w:bCs w:val="0"/>
          <w:sz w:val="24"/>
        </w:rPr>
        <w:t>,</w:t>
      </w:r>
      <w:r w:rsidR="00EF0E26" w:rsidRPr="007466EF">
        <w:rPr>
          <w:b w:val="0"/>
          <w:bCs w:val="0"/>
          <w:sz w:val="24"/>
        </w:rPr>
        <w:t xml:space="preserve"> 106/18., 121/19., 32/20., 42/20., </w:t>
      </w:r>
      <w:r w:rsidRPr="007466EF">
        <w:rPr>
          <w:b w:val="0"/>
          <w:bCs w:val="0"/>
          <w:sz w:val="24"/>
        </w:rPr>
        <w:t>114/22</w:t>
      </w:r>
      <w:r w:rsidR="00EF0E26" w:rsidRPr="007466EF">
        <w:rPr>
          <w:b w:val="0"/>
          <w:bCs w:val="0"/>
          <w:sz w:val="24"/>
        </w:rPr>
        <w:t>. i 152/24.</w:t>
      </w:r>
      <w:r w:rsidRPr="007466EF">
        <w:rPr>
          <w:b w:val="0"/>
          <w:bCs w:val="0"/>
          <w:sz w:val="24"/>
        </w:rPr>
        <w:t xml:space="preserve">) prema kojemu se u slučaju kada porezni obveznik </w:t>
      </w:r>
      <w:r w:rsidRPr="007466EF">
        <w:rPr>
          <w:b w:val="0"/>
          <w:bCs w:val="0"/>
          <w:sz w:val="24"/>
        </w:rPr>
        <w:lastRenderedPageBreak/>
        <w:t>duguje poreze, kamate i troškove ovrhe, iz uplaćenog iznosa najprije naplaćuju kamate i troškovi ovrhe, a nakon toga glavni porezni dug.</w:t>
      </w:r>
    </w:p>
    <w:p w14:paraId="3E6D6F35" w14:textId="77777777" w:rsidR="00864F97" w:rsidRPr="007466EF" w:rsidRDefault="00864F97" w:rsidP="007466EF"/>
    <w:p w14:paraId="07500D17" w14:textId="1F1B3106" w:rsidR="00864F97" w:rsidRPr="007466EF" w:rsidRDefault="00553092" w:rsidP="00864F97">
      <w:pPr>
        <w:pStyle w:val="Naslov"/>
        <w:keepNext/>
        <w:rPr>
          <w:b w:val="0"/>
          <w:bCs w:val="0"/>
        </w:rPr>
      </w:pPr>
      <w:r w:rsidRPr="007466EF">
        <w:rPr>
          <w:b w:val="0"/>
          <w:bCs w:val="0"/>
        </w:rPr>
        <w:t>Bilješka 11</w:t>
      </w:r>
      <w:r w:rsidR="00864F97" w:rsidRPr="007466EF">
        <w:rPr>
          <w:b w:val="0"/>
          <w:bCs w:val="0"/>
        </w:rPr>
        <w:t xml:space="preserve">. </w:t>
      </w:r>
    </w:p>
    <w:p w14:paraId="2512CDC0" w14:textId="77777777" w:rsidR="00864F97" w:rsidRPr="007466EF" w:rsidRDefault="00864F97" w:rsidP="00864F97">
      <w:pPr>
        <w:pStyle w:val="Naslov"/>
        <w:keepNext/>
        <w:rPr>
          <w:b w:val="0"/>
          <w:bCs w:val="0"/>
        </w:rPr>
      </w:pPr>
      <w:r w:rsidRPr="007466EF">
        <w:rPr>
          <w:b w:val="0"/>
          <w:bCs w:val="0"/>
        </w:rPr>
        <w:t xml:space="preserve">Šifra 6415 Prihodi od pozitivnih tečajnih razlika i razlika zbog primjene valutne klauzule </w:t>
      </w:r>
    </w:p>
    <w:p w14:paraId="7546323F" w14:textId="747855F2" w:rsidR="00A66669" w:rsidRPr="007466EF" w:rsidRDefault="00864F97" w:rsidP="00A66669">
      <w:pPr>
        <w:jc w:val="both"/>
        <w:rPr>
          <w:color w:val="000000"/>
        </w:rPr>
      </w:pPr>
      <w:r w:rsidRPr="007466EF">
        <w:rPr>
          <w:color w:val="000000"/>
        </w:rPr>
        <w:t>Prihodi od pozitivnih tečajnih razlika i razlika zbog primjene valutne klauzule u 202</w:t>
      </w:r>
      <w:r w:rsidR="00815E48" w:rsidRPr="007466EF">
        <w:rPr>
          <w:color w:val="000000"/>
        </w:rPr>
        <w:t>4</w:t>
      </w:r>
      <w:r w:rsidRPr="007466EF">
        <w:rPr>
          <w:color w:val="000000"/>
        </w:rPr>
        <w:t xml:space="preserve">. </w:t>
      </w:r>
      <w:r w:rsidR="00815E48" w:rsidRPr="007466EF">
        <w:rPr>
          <w:color w:val="000000"/>
        </w:rPr>
        <w:t xml:space="preserve">ostvareni su u iznosu od 940.942,45 </w:t>
      </w:r>
      <w:r w:rsidRPr="007466EF">
        <w:rPr>
          <w:color w:val="000000"/>
        </w:rPr>
        <w:t>eura, dok su u 202</w:t>
      </w:r>
      <w:r w:rsidR="00815E48" w:rsidRPr="007466EF">
        <w:rPr>
          <w:color w:val="000000"/>
        </w:rPr>
        <w:t>3</w:t>
      </w:r>
      <w:r w:rsidR="00C82F65" w:rsidRPr="007466EF">
        <w:rPr>
          <w:color w:val="000000"/>
        </w:rPr>
        <w:t>.</w:t>
      </w:r>
      <w:r w:rsidRPr="007466EF">
        <w:rPr>
          <w:color w:val="000000"/>
        </w:rPr>
        <w:t xml:space="preserve"> ostvareni u iznosu od </w:t>
      </w:r>
      <w:r w:rsidR="00815E48" w:rsidRPr="007466EF">
        <w:rPr>
          <w:color w:val="000000"/>
        </w:rPr>
        <w:t>326.148,81</w:t>
      </w:r>
      <w:r w:rsidRPr="007466EF">
        <w:rPr>
          <w:color w:val="000000"/>
        </w:rPr>
        <w:t xml:space="preserve"> eura što predstavlja </w:t>
      </w:r>
      <w:r w:rsidR="00815E48" w:rsidRPr="007466EF">
        <w:rPr>
          <w:color w:val="000000"/>
        </w:rPr>
        <w:t>povećanje</w:t>
      </w:r>
      <w:r w:rsidRPr="007466EF">
        <w:rPr>
          <w:color w:val="000000"/>
        </w:rPr>
        <w:t xml:space="preserve"> od </w:t>
      </w:r>
      <w:r w:rsidR="00815E48" w:rsidRPr="007466EF">
        <w:rPr>
          <w:color w:val="000000"/>
        </w:rPr>
        <w:t>188,5</w:t>
      </w:r>
      <w:r w:rsidRPr="007466EF">
        <w:rPr>
          <w:color w:val="000000"/>
        </w:rPr>
        <w:t xml:space="preserve">% u promatranom razdoblju. </w:t>
      </w:r>
      <w:r w:rsidR="00A66669" w:rsidRPr="007466EF">
        <w:rPr>
          <w:color w:val="000000"/>
        </w:rPr>
        <w:t>Naime, u obračunskom razdoblju od 1. siječnja do 31. prosinca 2024. na ime prihoda s predmetne osnove najviše su utjecale pozitivne tečajne razlike ostvarene u rujnu i studenom u ukupnom nominalnom iznosu od 753.815,58 eura, a  radi deprecijacije valute USD u odnosnu na EUR.</w:t>
      </w:r>
    </w:p>
    <w:p w14:paraId="7215FFA5" w14:textId="77777777" w:rsidR="00A66669" w:rsidRPr="007466EF" w:rsidRDefault="00A66669" w:rsidP="00A66669">
      <w:pPr>
        <w:jc w:val="both"/>
        <w:rPr>
          <w:color w:val="000000"/>
        </w:rPr>
      </w:pPr>
    </w:p>
    <w:p w14:paraId="7BB9E419" w14:textId="38ED528C" w:rsidR="00A66669" w:rsidRPr="007466EF" w:rsidRDefault="00A66669" w:rsidP="00A66669">
      <w:pPr>
        <w:jc w:val="both"/>
        <w:rPr>
          <w:color w:val="000000"/>
        </w:rPr>
      </w:pPr>
      <w:r w:rsidRPr="007466EF">
        <w:rPr>
          <w:color w:val="000000"/>
        </w:rPr>
        <w:t xml:space="preserve">Plaćanja u navedenom razdoblju koja su najznačajnije utjecala rast </w:t>
      </w:r>
      <w:r w:rsidR="00C40D2A">
        <w:rPr>
          <w:color w:val="000000"/>
        </w:rPr>
        <w:t xml:space="preserve">ovih </w:t>
      </w:r>
      <w:r w:rsidRPr="007466EF">
        <w:rPr>
          <w:color w:val="000000"/>
        </w:rPr>
        <w:t>prihoda odnosila su se na tri zahtjeva sveukupnog iznosa plaćanja u valuti USD 68.760.128,10.</w:t>
      </w:r>
    </w:p>
    <w:p w14:paraId="2570941C" w14:textId="77777777" w:rsidR="00A66669" w:rsidRPr="007466EF" w:rsidRDefault="00A66669" w:rsidP="00A66669">
      <w:pPr>
        <w:jc w:val="both"/>
        <w:rPr>
          <w:color w:val="000000"/>
        </w:rPr>
      </w:pPr>
    </w:p>
    <w:p w14:paraId="6AEEC7EB" w14:textId="54A09224" w:rsidR="00A66669" w:rsidRPr="007466EF" w:rsidRDefault="00A66669" w:rsidP="00A66669">
      <w:pPr>
        <w:pStyle w:val="Odlomakpopisa"/>
        <w:numPr>
          <w:ilvl w:val="0"/>
          <w:numId w:val="21"/>
        </w:numPr>
        <w:jc w:val="both"/>
        <w:rPr>
          <w:color w:val="000000"/>
        </w:rPr>
      </w:pPr>
      <w:r w:rsidRPr="007466EF">
        <w:rPr>
          <w:color w:val="000000"/>
        </w:rPr>
        <w:t>Plaćanje zrakoplova  u valuti USD – nadležno Ministarstvo unutarnjih poslova; plaćanje 17. rujna 2024. iznos tečajne razlike 505.063,77 eur</w:t>
      </w:r>
      <w:r w:rsidR="000F0D22" w:rsidRPr="007466EF">
        <w:rPr>
          <w:color w:val="000000"/>
        </w:rPr>
        <w:t>a</w:t>
      </w:r>
    </w:p>
    <w:p w14:paraId="657862BA" w14:textId="2F134ADE" w:rsidR="00A66669" w:rsidRPr="007466EF" w:rsidRDefault="00A66669" w:rsidP="00A66669">
      <w:pPr>
        <w:pStyle w:val="Odlomakpopisa"/>
        <w:numPr>
          <w:ilvl w:val="0"/>
          <w:numId w:val="21"/>
        </w:numPr>
        <w:jc w:val="both"/>
        <w:rPr>
          <w:color w:val="000000"/>
        </w:rPr>
      </w:pPr>
      <w:r w:rsidRPr="007466EF">
        <w:rPr>
          <w:color w:val="000000"/>
        </w:rPr>
        <w:t>Plaćanje u valuti USD – klasificiran podatak - nadležno Ministarstvo obrane Republike Hrvatske; plaćanje 16. rujna 2024. iznos tečajne razlike 80.343,05 eur</w:t>
      </w:r>
      <w:r w:rsidR="000F0D22" w:rsidRPr="007466EF">
        <w:rPr>
          <w:color w:val="000000"/>
        </w:rPr>
        <w:t>a</w:t>
      </w:r>
    </w:p>
    <w:p w14:paraId="56706A30" w14:textId="122BEDAF" w:rsidR="00A66669" w:rsidRPr="007466EF" w:rsidRDefault="00A66669" w:rsidP="00A66669">
      <w:pPr>
        <w:pStyle w:val="Odlomakpopisa"/>
        <w:numPr>
          <w:ilvl w:val="0"/>
          <w:numId w:val="21"/>
        </w:numPr>
        <w:jc w:val="both"/>
        <w:rPr>
          <w:color w:val="000000"/>
        </w:rPr>
      </w:pPr>
      <w:r w:rsidRPr="007466EF">
        <w:rPr>
          <w:color w:val="000000"/>
        </w:rPr>
        <w:t>Plaćanje u valuti USD – klasificiran podatak - nadležno Ministarstvo obrane Republike Hrvatske; plaćanje 26. studenog 2024. iznos tečajne razlike 168.408,76 eur</w:t>
      </w:r>
      <w:r w:rsidR="000F0D22" w:rsidRPr="007466EF">
        <w:rPr>
          <w:color w:val="000000"/>
        </w:rPr>
        <w:t>a</w:t>
      </w:r>
      <w:r w:rsidRPr="007466EF">
        <w:rPr>
          <w:color w:val="000000"/>
        </w:rPr>
        <w:t>.</w:t>
      </w:r>
    </w:p>
    <w:p w14:paraId="31A68D81" w14:textId="77777777" w:rsidR="00A66669" w:rsidRPr="007466EF" w:rsidRDefault="00A66669" w:rsidP="00A66669">
      <w:pPr>
        <w:jc w:val="both"/>
        <w:rPr>
          <w:color w:val="000000"/>
        </w:rPr>
      </w:pPr>
    </w:p>
    <w:p w14:paraId="5D8F4E13" w14:textId="1E44E8B8" w:rsidR="00A66669" w:rsidRPr="007466EF" w:rsidRDefault="00A66669" w:rsidP="00A66669">
      <w:pPr>
        <w:jc w:val="both"/>
        <w:rPr>
          <w:color w:val="000000"/>
        </w:rPr>
      </w:pPr>
      <w:r w:rsidRPr="007466EF">
        <w:rPr>
          <w:color w:val="000000"/>
        </w:rPr>
        <w:t>Preostali nominalni iznos iskazanih tečajnih razlika od 187.126,87 eur</w:t>
      </w:r>
      <w:r w:rsidR="000F0D22" w:rsidRPr="007466EF">
        <w:rPr>
          <w:color w:val="000000"/>
        </w:rPr>
        <w:t>a</w:t>
      </w:r>
      <w:r w:rsidRPr="007466EF">
        <w:rPr>
          <w:color w:val="000000"/>
        </w:rPr>
        <w:t xml:space="preserve"> je uobičajena razina pozitivnih tečajnih razlika po plaćanjima u stranoj valuti u proračunskoj godini.</w:t>
      </w:r>
    </w:p>
    <w:p w14:paraId="0FF5F3BA" w14:textId="2CD50980" w:rsidR="00B1410F" w:rsidRPr="007466EF" w:rsidRDefault="00B1410F" w:rsidP="00864F97">
      <w:pPr>
        <w:jc w:val="both"/>
        <w:rPr>
          <w:color w:val="000000"/>
        </w:rPr>
      </w:pPr>
    </w:p>
    <w:p w14:paraId="03398F89" w14:textId="7DB7882F" w:rsidR="00864F97" w:rsidRPr="007466EF" w:rsidRDefault="00553092" w:rsidP="00864F97">
      <w:pPr>
        <w:pStyle w:val="Naslov"/>
        <w:keepNext/>
        <w:rPr>
          <w:b w:val="0"/>
          <w:bCs w:val="0"/>
        </w:rPr>
      </w:pPr>
      <w:r w:rsidRPr="007466EF">
        <w:rPr>
          <w:b w:val="0"/>
          <w:bCs w:val="0"/>
        </w:rPr>
        <w:t>Bilješka 12</w:t>
      </w:r>
      <w:r w:rsidR="00864F97" w:rsidRPr="007466EF">
        <w:rPr>
          <w:b w:val="0"/>
          <w:bCs w:val="0"/>
        </w:rPr>
        <w:t>.</w:t>
      </w:r>
    </w:p>
    <w:p w14:paraId="52441D76" w14:textId="77777777" w:rsidR="00864F97" w:rsidRPr="007466EF" w:rsidRDefault="00864F97" w:rsidP="00864F97">
      <w:pPr>
        <w:pStyle w:val="Naslov"/>
        <w:keepNext/>
        <w:rPr>
          <w:b w:val="0"/>
          <w:bCs w:val="0"/>
        </w:rPr>
      </w:pPr>
      <w:r w:rsidRPr="007466EF">
        <w:rPr>
          <w:b w:val="0"/>
          <w:bCs w:val="0"/>
        </w:rPr>
        <w:t>Šifra 6416 Prihodi od dividendi</w:t>
      </w:r>
    </w:p>
    <w:p w14:paraId="1A2B1588" w14:textId="30DC460D" w:rsidR="00864F97" w:rsidRDefault="00815E48" w:rsidP="007466EF">
      <w:pPr>
        <w:jc w:val="both"/>
        <w:rPr>
          <w:color w:val="000000"/>
        </w:rPr>
      </w:pPr>
      <w:r w:rsidRPr="007466EF">
        <w:rPr>
          <w:color w:val="000000"/>
        </w:rPr>
        <w:t>Prihodi od dividendi u 2024</w:t>
      </w:r>
      <w:r w:rsidR="007B3E95" w:rsidRPr="007466EF">
        <w:rPr>
          <w:color w:val="000000"/>
        </w:rPr>
        <w:t>.</w:t>
      </w:r>
      <w:r w:rsidR="00864F97" w:rsidRPr="007466EF">
        <w:rPr>
          <w:color w:val="000000"/>
        </w:rPr>
        <w:t xml:space="preserve"> ostvareni su u iznosu od </w:t>
      </w:r>
      <w:r w:rsidRPr="007466EF">
        <w:rPr>
          <w:color w:val="000000"/>
        </w:rPr>
        <w:t>170.983.626,76 eura i veći su u odnosu na 2023</w:t>
      </w:r>
      <w:r w:rsidR="007B3E95" w:rsidRPr="007466EF">
        <w:rPr>
          <w:color w:val="000000"/>
        </w:rPr>
        <w:t>.</w:t>
      </w:r>
      <w:r w:rsidR="00864F97" w:rsidRPr="007466EF">
        <w:rPr>
          <w:color w:val="000000"/>
        </w:rPr>
        <w:t xml:space="preserve"> za </w:t>
      </w:r>
      <w:r w:rsidRPr="007466EF">
        <w:rPr>
          <w:color w:val="000000"/>
        </w:rPr>
        <w:t>64,4</w:t>
      </w:r>
      <w:r w:rsidR="00864F97" w:rsidRPr="007466EF">
        <w:rPr>
          <w:color w:val="000000"/>
        </w:rPr>
        <w:t xml:space="preserve">% kada su ostvareni u iznosu od </w:t>
      </w:r>
      <w:r w:rsidRPr="007466EF">
        <w:rPr>
          <w:color w:val="000000"/>
        </w:rPr>
        <w:t xml:space="preserve">103.976.251,93 </w:t>
      </w:r>
      <w:r w:rsidR="00864F97" w:rsidRPr="007466EF">
        <w:rPr>
          <w:color w:val="000000"/>
        </w:rPr>
        <w:t>eura. Najveći iznos</w:t>
      </w:r>
      <w:r w:rsidR="00A66669" w:rsidRPr="007466EF">
        <w:rPr>
          <w:color w:val="000000"/>
        </w:rPr>
        <w:t>i</w:t>
      </w:r>
      <w:r w:rsidR="00864F97" w:rsidRPr="007466EF">
        <w:rPr>
          <w:color w:val="000000"/>
        </w:rPr>
        <w:t xml:space="preserve"> ostvarenih p</w:t>
      </w:r>
      <w:r w:rsidRPr="007466EF">
        <w:rPr>
          <w:color w:val="000000"/>
        </w:rPr>
        <w:t>rihoda u 2024</w:t>
      </w:r>
      <w:r w:rsidR="007B3E95" w:rsidRPr="007466EF">
        <w:rPr>
          <w:color w:val="000000"/>
        </w:rPr>
        <w:t xml:space="preserve">. </w:t>
      </w:r>
      <w:r w:rsidR="00864F97" w:rsidRPr="007466EF">
        <w:rPr>
          <w:color w:val="000000"/>
        </w:rPr>
        <w:t xml:space="preserve">odnose se na uplatu dividende od </w:t>
      </w:r>
      <w:r w:rsidR="00F460D8" w:rsidRPr="007466EF">
        <w:rPr>
          <w:color w:val="000000"/>
        </w:rPr>
        <w:t>INA-Industrija nafte, d.d., Zagreb u iznosu od 107.605.248,00 eura, Croatia osiguranje d.d., Zagreb u iznosu od 34.617.895,80 eura te Jadranski naftovod d.d., Zagreb u iznosu od 16.288.480,80 eura.</w:t>
      </w:r>
    </w:p>
    <w:p w14:paraId="0D7825A9" w14:textId="77777777" w:rsidR="007466EF" w:rsidRPr="007466EF" w:rsidRDefault="007466EF" w:rsidP="007466EF">
      <w:pPr>
        <w:jc w:val="both"/>
        <w:rPr>
          <w:color w:val="000000"/>
        </w:rPr>
      </w:pPr>
    </w:p>
    <w:p w14:paraId="01E5CED6" w14:textId="620A03B6" w:rsidR="00864F97" w:rsidRPr="007466EF" w:rsidRDefault="00553092" w:rsidP="00864F97">
      <w:pPr>
        <w:pStyle w:val="Naslov"/>
        <w:keepNext/>
        <w:rPr>
          <w:b w:val="0"/>
          <w:bCs w:val="0"/>
        </w:rPr>
      </w:pPr>
      <w:r w:rsidRPr="007466EF">
        <w:rPr>
          <w:b w:val="0"/>
          <w:bCs w:val="0"/>
        </w:rPr>
        <w:t>Bilješka 13</w:t>
      </w:r>
      <w:r w:rsidR="00864F97" w:rsidRPr="007466EF">
        <w:rPr>
          <w:b w:val="0"/>
          <w:bCs w:val="0"/>
        </w:rPr>
        <w:t>.</w:t>
      </w:r>
    </w:p>
    <w:p w14:paraId="744EA4A6" w14:textId="77777777" w:rsidR="00553092" w:rsidRPr="007466EF" w:rsidRDefault="00864F97" w:rsidP="00553092">
      <w:pPr>
        <w:jc w:val="center"/>
        <w:rPr>
          <w:sz w:val="28"/>
        </w:rPr>
      </w:pPr>
      <w:r w:rsidRPr="007466EF">
        <w:rPr>
          <w:sz w:val="28"/>
        </w:rPr>
        <w:t>Šifra 6417 Prihodi iz dobiti trgovačkih društava, kreditnih i ostalih financijskih in</w:t>
      </w:r>
      <w:r w:rsidR="00553092" w:rsidRPr="007466EF">
        <w:rPr>
          <w:sz w:val="28"/>
        </w:rPr>
        <w:t>stitucija po posebnim propisima</w:t>
      </w:r>
    </w:p>
    <w:p w14:paraId="776B98DE" w14:textId="646E3E08" w:rsidR="00A66669" w:rsidRPr="007466EF" w:rsidRDefault="00864F97" w:rsidP="00553092">
      <w:pPr>
        <w:spacing w:after="200"/>
        <w:jc w:val="both"/>
        <w:rPr>
          <w:sz w:val="28"/>
        </w:rPr>
      </w:pPr>
      <w:r w:rsidRPr="007466EF">
        <w:rPr>
          <w:color w:val="000000"/>
        </w:rPr>
        <w:t>Prihodi iz dobiti trgovačkih društava, kreditnih i ostalih financijskih institucija po posebnim propisima u 202</w:t>
      </w:r>
      <w:r w:rsidR="0013577D" w:rsidRPr="007466EF">
        <w:rPr>
          <w:color w:val="000000"/>
        </w:rPr>
        <w:t>4</w:t>
      </w:r>
      <w:r w:rsidR="007B3E95" w:rsidRPr="007466EF">
        <w:rPr>
          <w:color w:val="000000"/>
        </w:rPr>
        <w:t xml:space="preserve">. </w:t>
      </w:r>
      <w:r w:rsidRPr="007466EF">
        <w:rPr>
          <w:color w:val="000000"/>
        </w:rPr>
        <w:t xml:space="preserve">ostvareni su u iznosu od </w:t>
      </w:r>
      <w:r w:rsidR="0013577D" w:rsidRPr="007466EF">
        <w:rPr>
          <w:color w:val="000000"/>
        </w:rPr>
        <w:t xml:space="preserve">61.714.625,66 </w:t>
      </w:r>
      <w:r w:rsidRPr="007466EF">
        <w:rPr>
          <w:color w:val="000000"/>
        </w:rPr>
        <w:t xml:space="preserve">eura i </w:t>
      </w:r>
      <w:r w:rsidR="0013577D" w:rsidRPr="007466EF">
        <w:rPr>
          <w:color w:val="000000"/>
        </w:rPr>
        <w:t>manji</w:t>
      </w:r>
      <w:r w:rsidRPr="007466EF">
        <w:rPr>
          <w:color w:val="000000"/>
        </w:rPr>
        <w:t xml:space="preserve"> su za </w:t>
      </w:r>
      <w:r w:rsidR="0013577D" w:rsidRPr="007466EF">
        <w:rPr>
          <w:color w:val="000000"/>
        </w:rPr>
        <w:t>36,1</w:t>
      </w:r>
      <w:r w:rsidRPr="007466EF">
        <w:rPr>
          <w:color w:val="000000"/>
        </w:rPr>
        <w:t xml:space="preserve">% u odnosu na </w:t>
      </w:r>
      <w:r w:rsidR="0013577D" w:rsidRPr="007466EF">
        <w:rPr>
          <w:color w:val="000000"/>
        </w:rPr>
        <w:t xml:space="preserve">96.550.807,27 </w:t>
      </w:r>
      <w:r w:rsidRPr="007466EF">
        <w:rPr>
          <w:color w:val="000000"/>
        </w:rPr>
        <w:t>eura ostvarenih u 202</w:t>
      </w:r>
      <w:r w:rsidR="0013577D" w:rsidRPr="007466EF">
        <w:rPr>
          <w:color w:val="000000"/>
        </w:rPr>
        <w:t>3</w:t>
      </w:r>
      <w:r w:rsidRPr="007466EF">
        <w:rPr>
          <w:color w:val="000000"/>
        </w:rPr>
        <w:t xml:space="preserve">. U okviru </w:t>
      </w:r>
      <w:r w:rsidR="007B3E95" w:rsidRPr="007466EF">
        <w:rPr>
          <w:color w:val="000000"/>
        </w:rPr>
        <w:t>ovih prihoda</w:t>
      </w:r>
      <w:r w:rsidRPr="007466EF">
        <w:rPr>
          <w:color w:val="000000"/>
        </w:rPr>
        <w:t xml:space="preserve"> najznačajniji iznosi odnose se na uplatu dobiti </w:t>
      </w:r>
      <w:r w:rsidR="006A04DC" w:rsidRPr="007466EF">
        <w:rPr>
          <w:color w:val="000000"/>
        </w:rPr>
        <w:t>Hrvatskih šuma</w:t>
      </w:r>
      <w:r w:rsidRPr="007466EF">
        <w:rPr>
          <w:color w:val="000000"/>
        </w:rPr>
        <w:t xml:space="preserve"> </w:t>
      </w:r>
      <w:r w:rsidR="007B3E95" w:rsidRPr="007466EF">
        <w:rPr>
          <w:color w:val="000000"/>
        </w:rPr>
        <w:t xml:space="preserve">d.d. </w:t>
      </w:r>
      <w:r w:rsidRPr="007466EF">
        <w:rPr>
          <w:color w:val="000000"/>
        </w:rPr>
        <w:t xml:space="preserve">u iznosu od </w:t>
      </w:r>
      <w:r w:rsidR="006A04DC" w:rsidRPr="007466EF">
        <w:rPr>
          <w:color w:val="000000"/>
        </w:rPr>
        <w:t xml:space="preserve">18 </w:t>
      </w:r>
      <w:r w:rsidRPr="007466EF">
        <w:rPr>
          <w:color w:val="000000"/>
        </w:rPr>
        <w:t xml:space="preserve">milijuna eura, </w:t>
      </w:r>
      <w:r w:rsidR="006A04DC" w:rsidRPr="007466EF">
        <w:rPr>
          <w:color w:val="000000"/>
        </w:rPr>
        <w:t xml:space="preserve">Hrvatska kontrola zračne plovidbe, društvo s ograničenom odgovornošću u iznosu od 10,3 milijuna eura, </w:t>
      </w:r>
      <w:r w:rsidRPr="007466EF">
        <w:rPr>
          <w:color w:val="000000"/>
        </w:rPr>
        <w:t>Agencije za komercijalnu djelatnost d.o.o., Zagreb u iznosu od 7,</w:t>
      </w:r>
      <w:r w:rsidR="006A04DC" w:rsidRPr="007466EF">
        <w:rPr>
          <w:color w:val="000000"/>
        </w:rPr>
        <w:t>8</w:t>
      </w:r>
      <w:r w:rsidRPr="007466EF">
        <w:rPr>
          <w:color w:val="000000"/>
        </w:rPr>
        <w:t xml:space="preserve"> milijuna eura, </w:t>
      </w:r>
      <w:r w:rsidR="006A04DC" w:rsidRPr="007466EF">
        <w:rPr>
          <w:color w:val="000000"/>
        </w:rPr>
        <w:t xml:space="preserve">Zračne Luke Split u iznosu od 4,6 milijuna eura, Zračne Luke Dubrovnik u iznosu od 2,9 milijuna eura te </w:t>
      </w:r>
      <w:r w:rsidRPr="007466EF">
        <w:rPr>
          <w:color w:val="000000"/>
        </w:rPr>
        <w:t>Državnih nekretn</w:t>
      </w:r>
      <w:r w:rsidR="006A04DC" w:rsidRPr="007466EF">
        <w:rPr>
          <w:color w:val="000000"/>
        </w:rPr>
        <w:t xml:space="preserve">ina d.o.o., Zagreb u iznosu od 2,4 </w:t>
      </w:r>
      <w:r w:rsidRPr="007466EF">
        <w:rPr>
          <w:color w:val="000000"/>
        </w:rPr>
        <w:t>milijuna eura.</w:t>
      </w:r>
    </w:p>
    <w:p w14:paraId="5D4882D9" w14:textId="024F43F3" w:rsidR="00A66669" w:rsidRPr="007466EF" w:rsidRDefault="00A66669" w:rsidP="00864F97">
      <w:pPr>
        <w:spacing w:after="200"/>
        <w:jc w:val="both"/>
        <w:rPr>
          <w:color w:val="000000"/>
        </w:rPr>
      </w:pPr>
      <w:r w:rsidRPr="007466EF">
        <w:rPr>
          <w:color w:val="000000"/>
        </w:rPr>
        <w:t>Manje ostvareni prihodi u 2024. u o</w:t>
      </w:r>
      <w:r w:rsidR="000F0D22" w:rsidRPr="007466EF">
        <w:rPr>
          <w:color w:val="000000"/>
        </w:rPr>
        <w:t>dnosu na ostvarenje 2023.</w:t>
      </w:r>
      <w:r w:rsidRPr="007466EF">
        <w:rPr>
          <w:color w:val="000000"/>
        </w:rPr>
        <w:t xml:space="preserve"> rezultat su uplate dobiti Hrvatske narodne banke u iznosu od 51,2 milijuna eura ostvarene u 2023.</w:t>
      </w:r>
    </w:p>
    <w:p w14:paraId="214CC38A" w14:textId="778DC051" w:rsidR="00864F97" w:rsidRPr="007466EF" w:rsidRDefault="00553092" w:rsidP="00864F97">
      <w:pPr>
        <w:jc w:val="center"/>
        <w:rPr>
          <w:sz w:val="28"/>
        </w:rPr>
      </w:pPr>
      <w:r w:rsidRPr="007466EF">
        <w:rPr>
          <w:sz w:val="28"/>
        </w:rPr>
        <w:lastRenderedPageBreak/>
        <w:t>Bilješka 14</w:t>
      </w:r>
      <w:r w:rsidR="00864F97" w:rsidRPr="007466EF">
        <w:rPr>
          <w:sz w:val="28"/>
        </w:rPr>
        <w:t>.</w:t>
      </w:r>
    </w:p>
    <w:p w14:paraId="18F65861" w14:textId="77777777" w:rsidR="00864F97" w:rsidRPr="007466EF" w:rsidRDefault="00864F97" w:rsidP="00864F97">
      <w:pPr>
        <w:pStyle w:val="Naslov"/>
        <w:keepNext/>
        <w:rPr>
          <w:b w:val="0"/>
          <w:bCs w:val="0"/>
        </w:rPr>
      </w:pPr>
      <w:r w:rsidRPr="007466EF">
        <w:rPr>
          <w:b w:val="0"/>
          <w:bCs w:val="0"/>
        </w:rPr>
        <w:t>Šifra 6419 Ostali prihodi od financijske imovine</w:t>
      </w:r>
    </w:p>
    <w:p w14:paraId="3DA95383" w14:textId="51A92DF9" w:rsidR="00864F97" w:rsidRPr="007466EF" w:rsidRDefault="00864F97" w:rsidP="00864F97">
      <w:pPr>
        <w:pStyle w:val="Naslov"/>
        <w:keepNext/>
        <w:jc w:val="both"/>
        <w:rPr>
          <w:b w:val="0"/>
          <w:bCs w:val="0"/>
          <w:sz w:val="24"/>
        </w:rPr>
      </w:pPr>
      <w:r w:rsidRPr="007466EF">
        <w:rPr>
          <w:b w:val="0"/>
          <w:bCs w:val="0"/>
          <w:sz w:val="24"/>
        </w:rPr>
        <w:t>Ostali prihodi od financijske imovine u 202</w:t>
      </w:r>
      <w:r w:rsidR="0013577D" w:rsidRPr="007466EF">
        <w:rPr>
          <w:b w:val="0"/>
          <w:bCs w:val="0"/>
          <w:sz w:val="24"/>
        </w:rPr>
        <w:t>4</w:t>
      </w:r>
      <w:r w:rsidR="007B3E95" w:rsidRPr="007466EF">
        <w:rPr>
          <w:b w:val="0"/>
          <w:bCs w:val="0"/>
          <w:sz w:val="24"/>
        </w:rPr>
        <w:t>.</w:t>
      </w:r>
      <w:r w:rsidRPr="007466EF">
        <w:rPr>
          <w:b w:val="0"/>
          <w:bCs w:val="0"/>
          <w:sz w:val="24"/>
        </w:rPr>
        <w:t xml:space="preserve"> ostvareni su u iznosu od </w:t>
      </w:r>
      <w:r w:rsidR="0013577D" w:rsidRPr="007466EF">
        <w:rPr>
          <w:b w:val="0"/>
          <w:bCs w:val="0"/>
          <w:sz w:val="24"/>
        </w:rPr>
        <w:t>20.049.073,65</w:t>
      </w:r>
      <w:r w:rsidR="007B3E95" w:rsidRPr="007466EF">
        <w:rPr>
          <w:b w:val="0"/>
          <w:bCs w:val="0"/>
          <w:sz w:val="24"/>
        </w:rPr>
        <w:t xml:space="preserve"> eura, dok su u 2023. </w:t>
      </w:r>
      <w:r w:rsidRPr="007466EF">
        <w:rPr>
          <w:b w:val="0"/>
          <w:bCs w:val="0"/>
          <w:sz w:val="24"/>
        </w:rPr>
        <w:t xml:space="preserve">ostvareni u iznosu od </w:t>
      </w:r>
      <w:r w:rsidR="0013577D" w:rsidRPr="007466EF">
        <w:rPr>
          <w:b w:val="0"/>
          <w:bCs w:val="0"/>
          <w:sz w:val="24"/>
        </w:rPr>
        <w:t xml:space="preserve">22.831.602,73 </w:t>
      </w:r>
      <w:r w:rsidRPr="007466EF">
        <w:rPr>
          <w:b w:val="0"/>
          <w:bCs w:val="0"/>
          <w:sz w:val="24"/>
        </w:rPr>
        <w:t xml:space="preserve">eura što predstavlja smanjenje od </w:t>
      </w:r>
      <w:r w:rsidR="0013577D" w:rsidRPr="007466EF">
        <w:rPr>
          <w:b w:val="0"/>
          <w:bCs w:val="0"/>
          <w:sz w:val="24"/>
        </w:rPr>
        <w:t>12,2</w:t>
      </w:r>
      <w:r w:rsidRPr="007466EF">
        <w:rPr>
          <w:b w:val="0"/>
          <w:bCs w:val="0"/>
          <w:sz w:val="24"/>
        </w:rPr>
        <w:t xml:space="preserve">% u promatranom razdoblju, a odnose se najvećim dijelom na alikvotni dio premije na obveznice u iznosu od </w:t>
      </w:r>
      <w:r w:rsidR="00815E48" w:rsidRPr="007466EF">
        <w:rPr>
          <w:b w:val="0"/>
          <w:bCs w:val="0"/>
          <w:sz w:val="24"/>
        </w:rPr>
        <w:t xml:space="preserve">17.873.257,42 </w:t>
      </w:r>
      <w:r w:rsidR="002460F3" w:rsidRPr="007466EF">
        <w:rPr>
          <w:b w:val="0"/>
          <w:bCs w:val="0"/>
          <w:sz w:val="24"/>
        </w:rPr>
        <w:t>eura</w:t>
      </w:r>
      <w:r w:rsidR="00A66669" w:rsidRPr="007466EF">
        <w:rPr>
          <w:b w:val="0"/>
          <w:bCs w:val="0"/>
          <w:sz w:val="24"/>
        </w:rPr>
        <w:t xml:space="preserve"> ostvaren u 2024</w:t>
      </w:r>
      <w:r w:rsidR="002460F3" w:rsidRPr="007466EF">
        <w:rPr>
          <w:b w:val="0"/>
          <w:bCs w:val="0"/>
          <w:sz w:val="24"/>
        </w:rPr>
        <w:t>.</w:t>
      </w:r>
    </w:p>
    <w:p w14:paraId="1E2F0C9F" w14:textId="61EEA528" w:rsidR="00864F97" w:rsidRPr="007466EF" w:rsidRDefault="00864F97" w:rsidP="007466EF">
      <w:pPr>
        <w:jc w:val="both"/>
        <w:rPr>
          <w:color w:val="000000"/>
        </w:rPr>
      </w:pPr>
    </w:p>
    <w:p w14:paraId="0E03FE84" w14:textId="3BEB216F" w:rsidR="00864F97" w:rsidRPr="007466EF" w:rsidRDefault="00553092" w:rsidP="00864F97">
      <w:pPr>
        <w:pStyle w:val="Naslov"/>
        <w:keepNext/>
        <w:rPr>
          <w:b w:val="0"/>
          <w:bCs w:val="0"/>
          <w:color w:val="000000" w:themeColor="text1"/>
        </w:rPr>
      </w:pPr>
      <w:r w:rsidRPr="007466EF">
        <w:rPr>
          <w:b w:val="0"/>
          <w:bCs w:val="0"/>
          <w:color w:val="000000" w:themeColor="text1"/>
        </w:rPr>
        <w:t>Bilješka 15</w:t>
      </w:r>
      <w:r w:rsidR="00864F97" w:rsidRPr="007466EF">
        <w:rPr>
          <w:b w:val="0"/>
          <w:bCs w:val="0"/>
          <w:color w:val="000000" w:themeColor="text1"/>
        </w:rPr>
        <w:t>.</w:t>
      </w:r>
    </w:p>
    <w:p w14:paraId="4A47BDC2" w14:textId="77777777" w:rsidR="00864F97" w:rsidRPr="007466EF" w:rsidRDefault="00864F97" w:rsidP="00864F97">
      <w:pPr>
        <w:pStyle w:val="Naslov"/>
        <w:keepNext/>
        <w:rPr>
          <w:b w:val="0"/>
          <w:bCs w:val="0"/>
          <w:color w:val="000000" w:themeColor="text1"/>
        </w:rPr>
      </w:pPr>
      <w:r w:rsidRPr="007466EF">
        <w:rPr>
          <w:b w:val="0"/>
          <w:bCs w:val="0"/>
          <w:color w:val="000000" w:themeColor="text1"/>
        </w:rPr>
        <w:t xml:space="preserve">Šifra 6423 Naknada za korištenje nefinancijske imovine </w:t>
      </w:r>
    </w:p>
    <w:p w14:paraId="3D4790F8" w14:textId="294EC6CE" w:rsidR="00864F97" w:rsidRPr="007466EF" w:rsidRDefault="00864F97" w:rsidP="00864F97">
      <w:pPr>
        <w:jc w:val="both"/>
        <w:rPr>
          <w:rFonts w:eastAsia="Calibri"/>
          <w:color w:val="000000" w:themeColor="text1"/>
        </w:rPr>
      </w:pPr>
      <w:r w:rsidRPr="007466EF">
        <w:t xml:space="preserve">Prihodi od naknada za korištenje nefinancijske imovine u </w:t>
      </w:r>
      <w:r w:rsidRPr="007466EF">
        <w:rPr>
          <w:bCs/>
        </w:rPr>
        <w:t>202</w:t>
      </w:r>
      <w:r w:rsidR="006A04DC" w:rsidRPr="007466EF">
        <w:rPr>
          <w:bCs/>
        </w:rPr>
        <w:t>4</w:t>
      </w:r>
      <w:r w:rsidR="007B3E95" w:rsidRPr="007466EF">
        <w:rPr>
          <w:bCs/>
        </w:rPr>
        <w:t xml:space="preserve">. </w:t>
      </w:r>
      <w:r w:rsidRPr="007466EF">
        <w:t xml:space="preserve">ostvareni su u iznosu od </w:t>
      </w:r>
      <w:r w:rsidR="006A04DC" w:rsidRPr="007466EF">
        <w:t xml:space="preserve">33.367.226,38 </w:t>
      </w:r>
      <w:r w:rsidR="007B3E95" w:rsidRPr="007466EF">
        <w:rPr>
          <w:bCs/>
        </w:rPr>
        <w:t>eura</w:t>
      </w:r>
      <w:r w:rsidRPr="007466EF">
        <w:rPr>
          <w:bCs/>
        </w:rPr>
        <w:t xml:space="preserve"> što je </w:t>
      </w:r>
      <w:r w:rsidR="006A04DC" w:rsidRPr="007466EF">
        <w:rPr>
          <w:bCs/>
        </w:rPr>
        <w:t>smanjenje</w:t>
      </w:r>
      <w:r w:rsidRPr="007466EF">
        <w:rPr>
          <w:bCs/>
        </w:rPr>
        <w:t xml:space="preserve"> od </w:t>
      </w:r>
      <w:r w:rsidR="006A04DC" w:rsidRPr="007466EF">
        <w:rPr>
          <w:bCs/>
        </w:rPr>
        <w:t xml:space="preserve">87,3 </w:t>
      </w:r>
      <w:r w:rsidRPr="007466EF">
        <w:t>% u odnosu na ostvarenje u istom razdoblju 202</w:t>
      </w:r>
      <w:r w:rsidR="006A04DC" w:rsidRPr="007466EF">
        <w:t>3</w:t>
      </w:r>
      <w:r w:rsidR="007B3E95" w:rsidRPr="007466EF">
        <w:t>.</w:t>
      </w:r>
      <w:r w:rsidRPr="007466EF">
        <w:t xml:space="preserve"> kada su prihodi s osnove naknada za korištenje nefinancijske imovine ostvareni u iznosu od </w:t>
      </w:r>
      <w:r w:rsidR="006A04DC" w:rsidRPr="007466EF">
        <w:rPr>
          <w:bCs/>
        </w:rPr>
        <w:t xml:space="preserve">263.089.702,26 </w:t>
      </w:r>
      <w:r w:rsidRPr="007466EF">
        <w:t>eura. Najznačajniji iznosi u 202</w:t>
      </w:r>
      <w:r w:rsidR="002460F3" w:rsidRPr="007466EF">
        <w:t>4</w:t>
      </w:r>
      <w:r w:rsidR="007B3E95" w:rsidRPr="007466EF">
        <w:t xml:space="preserve">. </w:t>
      </w:r>
      <w:r w:rsidRPr="007466EF">
        <w:t xml:space="preserve">odnose se na prihode s osnove izdanih dozvola za uporabu </w:t>
      </w:r>
      <w:proofErr w:type="spellStart"/>
      <w:r w:rsidRPr="007466EF">
        <w:t>radiofrekvencijskog</w:t>
      </w:r>
      <w:proofErr w:type="spellEnd"/>
      <w:r w:rsidRPr="007466EF">
        <w:t xml:space="preserve"> spektra za javne mreže pokretnih elektroničkih komunikacija na nacionalnoj i regionalnoj razini.</w:t>
      </w:r>
    </w:p>
    <w:p w14:paraId="13B34280" w14:textId="13E2D7B2" w:rsidR="00864F97" w:rsidRPr="007466EF" w:rsidRDefault="00864F97" w:rsidP="007466EF">
      <w:pPr>
        <w:jc w:val="both"/>
        <w:rPr>
          <w:color w:val="000000"/>
        </w:rPr>
      </w:pPr>
    </w:p>
    <w:p w14:paraId="5F0AE14B" w14:textId="0C263339" w:rsidR="00864F97" w:rsidRPr="007466EF" w:rsidRDefault="00864F97" w:rsidP="00864F97">
      <w:pPr>
        <w:pStyle w:val="Naslov"/>
        <w:keepNext/>
        <w:rPr>
          <w:b w:val="0"/>
          <w:bCs w:val="0"/>
        </w:rPr>
      </w:pPr>
      <w:r w:rsidRPr="007466EF">
        <w:rPr>
          <w:b w:val="0"/>
          <w:bCs w:val="0"/>
        </w:rPr>
        <w:t>Bilješka</w:t>
      </w:r>
      <w:r w:rsidR="00553092" w:rsidRPr="007466EF">
        <w:rPr>
          <w:b w:val="0"/>
          <w:bCs w:val="0"/>
        </w:rPr>
        <w:t xml:space="preserve"> 16</w:t>
      </w:r>
      <w:r w:rsidRPr="007466EF">
        <w:rPr>
          <w:b w:val="0"/>
          <w:bCs w:val="0"/>
        </w:rPr>
        <w:t>.</w:t>
      </w:r>
    </w:p>
    <w:p w14:paraId="3F71EE4F" w14:textId="77777777" w:rsidR="00864F97" w:rsidRPr="007466EF" w:rsidRDefault="00864F97" w:rsidP="00864F97">
      <w:pPr>
        <w:pStyle w:val="Naslov"/>
        <w:keepNext/>
        <w:rPr>
          <w:b w:val="0"/>
          <w:bCs w:val="0"/>
        </w:rPr>
      </w:pPr>
      <w:r w:rsidRPr="007466EF">
        <w:rPr>
          <w:b w:val="0"/>
          <w:bCs w:val="0"/>
        </w:rPr>
        <w:t>Šifra 6433 Prihodi od kamata na dane zajmove kreditnim i ostalim financijskim institucijama u javnom sektoru</w:t>
      </w:r>
    </w:p>
    <w:p w14:paraId="1E7715E2" w14:textId="670B94AB" w:rsidR="00864F97" w:rsidRPr="007466EF" w:rsidRDefault="00864F97" w:rsidP="007B3E95">
      <w:pPr>
        <w:jc w:val="both"/>
      </w:pPr>
      <w:r w:rsidRPr="007466EF">
        <w:rPr>
          <w:bCs/>
        </w:rPr>
        <w:t>Prihodi od kamata</w:t>
      </w:r>
      <w:r w:rsidRPr="007466EF">
        <w:t xml:space="preserve"> na dane zajmove kreditnim i ostalim financijskim institucijama u javnom sektoru u 2024</w:t>
      </w:r>
      <w:r w:rsidRPr="007466EF">
        <w:rPr>
          <w:bCs/>
        </w:rPr>
        <w:t>. ostvareni</w:t>
      </w:r>
      <w:r w:rsidRPr="007466EF">
        <w:t xml:space="preserve"> su u iznosu od </w:t>
      </w:r>
      <w:r w:rsidRPr="007466EF">
        <w:rPr>
          <w:bCs/>
        </w:rPr>
        <w:t xml:space="preserve">10.116.688,26 </w:t>
      </w:r>
      <w:r w:rsidRPr="007466EF">
        <w:t xml:space="preserve"> eura dok u 2023. nije bilo ostvarenja prihoda s navedene osnove zbog čega se bilježi stopostotno povećanje kroz promatrano razdoblje. Prihodi od kamata</w:t>
      </w:r>
      <w:r w:rsidR="007B3E95" w:rsidRPr="007466EF">
        <w:t xml:space="preserve"> ostvareni u 2024. odnose se na </w:t>
      </w:r>
      <w:r w:rsidRPr="007466EF">
        <w:t>kamate temeljem danog zajma HBOR-u</w:t>
      </w:r>
      <w:r w:rsidR="007B3E95" w:rsidRPr="007466EF">
        <w:t xml:space="preserve"> po Ugovoru o zajmu broj 1/22, Ugovoru o zajmu broj 1/23 i Ugovoru o zajmu broj 1/24.</w:t>
      </w:r>
    </w:p>
    <w:p w14:paraId="598F36FF" w14:textId="77777777" w:rsidR="00864F97" w:rsidRPr="007466EF" w:rsidRDefault="00864F97" w:rsidP="007466EF">
      <w:pPr>
        <w:jc w:val="both"/>
        <w:rPr>
          <w:color w:val="000000"/>
        </w:rPr>
      </w:pPr>
    </w:p>
    <w:p w14:paraId="663DC1CE" w14:textId="340D109B" w:rsidR="00864F97" w:rsidRPr="007466EF" w:rsidRDefault="00864F97" w:rsidP="00864F97">
      <w:pPr>
        <w:pStyle w:val="Naslov"/>
        <w:keepNext/>
        <w:rPr>
          <w:b w:val="0"/>
          <w:bCs w:val="0"/>
        </w:rPr>
      </w:pPr>
      <w:r w:rsidRPr="007466EF">
        <w:rPr>
          <w:b w:val="0"/>
          <w:bCs w:val="0"/>
        </w:rPr>
        <w:t xml:space="preserve">Bilješka </w:t>
      </w:r>
      <w:r w:rsidR="00553092" w:rsidRPr="007466EF">
        <w:rPr>
          <w:b w:val="0"/>
          <w:bCs w:val="0"/>
        </w:rPr>
        <w:t>17</w:t>
      </w:r>
      <w:r w:rsidRPr="007466EF">
        <w:rPr>
          <w:b w:val="0"/>
          <w:bCs w:val="0"/>
        </w:rPr>
        <w:t>.</w:t>
      </w:r>
    </w:p>
    <w:p w14:paraId="6A40EEA0" w14:textId="77777777" w:rsidR="00864F97" w:rsidRPr="007466EF" w:rsidRDefault="00864F97" w:rsidP="00864F97">
      <w:pPr>
        <w:pStyle w:val="Naslov"/>
        <w:keepNext/>
        <w:rPr>
          <w:b w:val="0"/>
          <w:bCs w:val="0"/>
        </w:rPr>
      </w:pPr>
      <w:r w:rsidRPr="007466EF">
        <w:rPr>
          <w:b w:val="0"/>
          <w:bCs w:val="0"/>
        </w:rPr>
        <w:t>Šifra 6434 Prihodi od kamata na dane zajmove trgovačkim društvima u javnom sektoru</w:t>
      </w:r>
    </w:p>
    <w:p w14:paraId="580F5474" w14:textId="5DDFD2FB" w:rsidR="00864F97" w:rsidRPr="007466EF" w:rsidRDefault="00864F97" w:rsidP="00864F97">
      <w:pPr>
        <w:pStyle w:val="xmsonormal"/>
        <w:shd w:val="clear" w:color="auto" w:fill="FFFFFF"/>
        <w:spacing w:before="0" w:beforeAutospacing="0" w:after="0" w:afterAutospacing="0"/>
        <w:jc w:val="both"/>
        <w:rPr>
          <w:bCs/>
        </w:rPr>
      </w:pPr>
      <w:r w:rsidRPr="007466EF">
        <w:rPr>
          <w:bCs/>
        </w:rPr>
        <w:t>Prihodi od kamata na dane zajmove trgovačkim društvima u javnom sektoru</w:t>
      </w:r>
      <w:r w:rsidR="0021390B" w:rsidRPr="007466EF">
        <w:rPr>
          <w:bCs/>
        </w:rPr>
        <w:t xml:space="preserve"> u 2024. ostvareni su u iznosu od 16.883.540,13 eura</w:t>
      </w:r>
      <w:r w:rsidR="0021390B" w:rsidRPr="007466EF">
        <w:t xml:space="preserve"> </w:t>
      </w:r>
      <w:r w:rsidR="0021390B" w:rsidRPr="007466EF">
        <w:rPr>
          <w:bCs/>
        </w:rPr>
        <w:t xml:space="preserve">dok </w:t>
      </w:r>
      <w:r w:rsidR="00521317" w:rsidRPr="007466EF">
        <w:rPr>
          <w:bCs/>
        </w:rPr>
        <w:t>su u 2023. ostvareni u iznosu od 2.026.298,03 eura što predstavlja povećanje od 733,2% u promatranom razdoblju.</w:t>
      </w:r>
    </w:p>
    <w:p w14:paraId="0558EA6F" w14:textId="0964B0BC" w:rsidR="00521317" w:rsidRPr="007466EF" w:rsidRDefault="00521317" w:rsidP="00864F97">
      <w:pPr>
        <w:pStyle w:val="xmsonormal"/>
        <w:shd w:val="clear" w:color="auto" w:fill="FFFFFF"/>
        <w:spacing w:before="0" w:beforeAutospacing="0" w:after="0" w:afterAutospacing="0"/>
        <w:jc w:val="both"/>
        <w:rPr>
          <w:bCs/>
        </w:rPr>
      </w:pPr>
    </w:p>
    <w:p w14:paraId="18A83786" w14:textId="28F254D6" w:rsidR="008F2DAF" w:rsidRPr="007466EF" w:rsidRDefault="00A66669" w:rsidP="008F2DAF">
      <w:pPr>
        <w:spacing w:after="200"/>
        <w:jc w:val="both"/>
      </w:pPr>
      <w:r w:rsidRPr="007466EF">
        <w:rPr>
          <w:color w:val="000000"/>
        </w:rPr>
        <w:t>Na povećanje</w:t>
      </w:r>
      <w:r w:rsidR="00521317" w:rsidRPr="007466EF">
        <w:rPr>
          <w:color w:val="000000"/>
        </w:rPr>
        <w:t xml:space="preserve"> prihoda u 2024. </w:t>
      </w:r>
      <w:r w:rsidRPr="007466EF">
        <w:rPr>
          <w:color w:val="000000"/>
        </w:rPr>
        <w:t>utjecali su ostvareni prihodi</w:t>
      </w:r>
      <w:r w:rsidR="00521317" w:rsidRPr="007466EF">
        <w:rPr>
          <w:color w:val="000000"/>
        </w:rPr>
        <w:t xml:space="preserve"> od kamata s osnove prijeboja dioničarskog zajma danog društvu Hrvatskoj elektroprivredi d.d.</w:t>
      </w:r>
      <w:r w:rsidR="008F2DAF" w:rsidRPr="007466EF">
        <w:rPr>
          <w:color w:val="000000"/>
        </w:rPr>
        <w:t xml:space="preserve"> (u daljnjem tekstu: HEP d.d.) </w:t>
      </w:r>
      <w:r w:rsidRPr="007466EF">
        <w:rPr>
          <w:color w:val="000000"/>
        </w:rPr>
        <w:t xml:space="preserve">u visini od 15.440.440,15 eura. </w:t>
      </w:r>
      <w:r w:rsidR="008F2DAF" w:rsidRPr="007466EF">
        <w:rPr>
          <w:color w:val="000000"/>
        </w:rPr>
        <w:t>Naime, u 2023. s</w:t>
      </w:r>
      <w:r w:rsidR="00521317" w:rsidRPr="007466EF">
        <w:t xml:space="preserve">ukladno točki II. Odluke o odobrenju davanja dioničarskog zajma društvu </w:t>
      </w:r>
      <w:r w:rsidR="008F2DAF" w:rsidRPr="007466EF">
        <w:t>HEP d.d.</w:t>
      </w:r>
      <w:r w:rsidR="00521317" w:rsidRPr="007466EF">
        <w:t xml:space="preserve"> i pokretanju aktivnosti postupka dokapitalizacije, KLASA: 022-03/23-04/117, URBROJ: 50301-05/27-23-3, od 30. ožujka 2</w:t>
      </w:r>
      <w:r w:rsidR="008F2DAF" w:rsidRPr="007466EF">
        <w:t>023.</w:t>
      </w:r>
      <w:r w:rsidR="00521317" w:rsidRPr="007466EF">
        <w:t xml:space="preserve">,  društvu HEP d.d. dan </w:t>
      </w:r>
      <w:r w:rsidR="008F2DAF" w:rsidRPr="007466EF">
        <w:t xml:space="preserve">je </w:t>
      </w:r>
      <w:r w:rsidR="00521317" w:rsidRPr="007466EF">
        <w:t xml:space="preserve">dioničarski zajam u iznosu 400.000.000,00 eura te je sklopljen Ugovor </w:t>
      </w:r>
      <w:r w:rsidR="008F2DAF" w:rsidRPr="007466EF">
        <w:t xml:space="preserve">o dioničarskom zajmu u iznosu od 400.000.000,00 eura </w:t>
      </w:r>
      <w:r w:rsidR="00521317" w:rsidRPr="007466EF">
        <w:t xml:space="preserve">između Ministarstva gospodarstva i održivog razvoja i društva </w:t>
      </w:r>
      <w:r w:rsidR="008F2DAF" w:rsidRPr="007466EF">
        <w:t xml:space="preserve">HEP d.d. </w:t>
      </w:r>
      <w:r w:rsidR="00521317" w:rsidRPr="007466EF">
        <w:t>U 2024. Vlada Republike Hrvatske donijela je Odluku o nadoknadi razlike cijene električne energije društvu Hrvatska elektroprivreda d.d. i provedbenim aktivnostima (KLASA: 022-03/24-04/135, URBROJ: 50301-05/27-24-2, od 14. ožujka 2024</w:t>
      </w:r>
      <w:r w:rsidR="008F2DAF" w:rsidRPr="007466EF">
        <w:t>.</w:t>
      </w:r>
      <w:r w:rsidR="00521317" w:rsidRPr="007466EF">
        <w:t xml:space="preserve">) </w:t>
      </w:r>
      <w:r w:rsidR="008F2DAF" w:rsidRPr="007466EF">
        <w:t>kojom je odobrena nadoknada društvu HEP d.d. za kupce kategorije poduzetništvo u visini razlike između ugovorene cijene i cijene obračunate kupcima za razdoblje 1. listopada 2022. – 31. ožujka 2023. u ukupnom iznosu od 547.075.454,25 eura.</w:t>
      </w:r>
      <w:r w:rsidR="008F2DAF" w:rsidRPr="007466EF">
        <w:rPr>
          <w:color w:val="000000"/>
        </w:rPr>
        <w:t xml:space="preserve"> </w:t>
      </w:r>
      <w:r w:rsidR="008F2DAF" w:rsidRPr="007466EF">
        <w:t>Z</w:t>
      </w:r>
      <w:r w:rsidR="00521317" w:rsidRPr="007466EF">
        <w:t xml:space="preserve">a odobreni iznos nadoknade iz točke II. </w:t>
      </w:r>
      <w:r w:rsidR="008F2DAF" w:rsidRPr="007466EF">
        <w:t xml:space="preserve">ove </w:t>
      </w:r>
      <w:r w:rsidR="00521317" w:rsidRPr="007466EF">
        <w:t>Odluke izvršen je prijeboj s dioničarskim zajmom u iznosu od 400.000.000,00 eura</w:t>
      </w:r>
      <w:r w:rsidR="00521317" w:rsidRPr="007466EF">
        <w:rPr>
          <w:b/>
        </w:rPr>
        <w:t xml:space="preserve"> </w:t>
      </w:r>
      <w:r w:rsidR="00521317" w:rsidRPr="007466EF">
        <w:t>uvećan</w:t>
      </w:r>
      <w:r w:rsidR="008F2DAF" w:rsidRPr="007466EF">
        <w:t>im</w:t>
      </w:r>
      <w:r w:rsidR="00521317" w:rsidRPr="007466EF">
        <w:t xml:space="preserve"> za iznos kamata</w:t>
      </w:r>
      <w:r w:rsidR="008F2DAF" w:rsidRPr="007466EF">
        <w:t xml:space="preserve"> na dan donošenja Odluke.</w:t>
      </w:r>
    </w:p>
    <w:p w14:paraId="32A36993" w14:textId="286399CE" w:rsidR="00864F97" w:rsidRPr="007466EF" w:rsidRDefault="00864F97" w:rsidP="00864F97">
      <w:pPr>
        <w:pStyle w:val="Naslov"/>
        <w:keepNext/>
        <w:rPr>
          <w:b w:val="0"/>
          <w:bCs w:val="0"/>
        </w:rPr>
      </w:pPr>
      <w:r w:rsidRPr="007466EF">
        <w:rPr>
          <w:b w:val="0"/>
          <w:bCs w:val="0"/>
        </w:rPr>
        <w:lastRenderedPageBreak/>
        <w:t>B</w:t>
      </w:r>
      <w:r w:rsidR="008F2DAF" w:rsidRPr="007466EF">
        <w:rPr>
          <w:b w:val="0"/>
          <w:bCs w:val="0"/>
        </w:rPr>
        <w:t xml:space="preserve">ilješka </w:t>
      </w:r>
      <w:r w:rsidR="00553092" w:rsidRPr="007466EF">
        <w:rPr>
          <w:b w:val="0"/>
          <w:bCs w:val="0"/>
        </w:rPr>
        <w:t>18</w:t>
      </w:r>
      <w:r w:rsidRPr="007466EF">
        <w:rPr>
          <w:b w:val="0"/>
          <w:bCs w:val="0"/>
        </w:rPr>
        <w:t>.</w:t>
      </w:r>
    </w:p>
    <w:p w14:paraId="7E44B9F0" w14:textId="77777777" w:rsidR="00D47B54" w:rsidRPr="007466EF" w:rsidRDefault="00D47B54" w:rsidP="00D47B54">
      <w:pPr>
        <w:pStyle w:val="Naslov"/>
        <w:keepNext/>
        <w:rPr>
          <w:b w:val="0"/>
          <w:bCs w:val="0"/>
        </w:rPr>
      </w:pPr>
      <w:r w:rsidRPr="007466EF">
        <w:rPr>
          <w:b w:val="0"/>
          <w:bCs w:val="0"/>
        </w:rPr>
        <w:t>Šifra 6437 Prihodi od kamata na dane zajmove drugim razinama vlasti</w:t>
      </w:r>
    </w:p>
    <w:p w14:paraId="2D9E2978" w14:textId="6515D7FF" w:rsidR="00D47B54" w:rsidRPr="007466EF" w:rsidRDefault="00D47B54" w:rsidP="00D47B54">
      <w:pPr>
        <w:jc w:val="both"/>
        <w:rPr>
          <w:color w:val="212121"/>
        </w:rPr>
      </w:pPr>
      <w:r w:rsidRPr="007466EF">
        <w:rPr>
          <w:color w:val="212121"/>
        </w:rPr>
        <w:t xml:space="preserve">U 2024. prihodi od kamata na dane zajmove drugim razinama vlasti ostvareni su u iznosu </w:t>
      </w:r>
      <w:r w:rsidR="002460F3" w:rsidRPr="007466EF">
        <w:rPr>
          <w:color w:val="212121"/>
        </w:rPr>
        <w:t>35.920.548,03</w:t>
      </w:r>
      <w:r w:rsidRPr="007466EF">
        <w:rPr>
          <w:color w:val="212121"/>
        </w:rPr>
        <w:t xml:space="preserve"> eura </w:t>
      </w:r>
      <w:r w:rsidR="00B80BFC" w:rsidRPr="007466EF">
        <w:t>dok su u 2023. ostvareni u iznosu od</w:t>
      </w:r>
      <w:r w:rsidRPr="007466EF">
        <w:t xml:space="preserve"> </w:t>
      </w:r>
      <w:r w:rsidR="002460F3" w:rsidRPr="007466EF">
        <w:t>15.333.445,18</w:t>
      </w:r>
      <w:r w:rsidRPr="007466EF">
        <w:t xml:space="preserve"> eura </w:t>
      </w:r>
      <w:r w:rsidR="002460F3" w:rsidRPr="007466EF">
        <w:t>što predstavlja povećanje od 134,3</w:t>
      </w:r>
      <w:r w:rsidRPr="007466EF">
        <w:t>% u promatranom razdoblju.</w:t>
      </w:r>
    </w:p>
    <w:p w14:paraId="27A9AF0C" w14:textId="77777777" w:rsidR="00D47B54" w:rsidRPr="007466EF" w:rsidRDefault="00D47B54" w:rsidP="00D47B54">
      <w:pPr>
        <w:jc w:val="both"/>
        <w:rPr>
          <w:color w:val="212121"/>
        </w:rPr>
      </w:pPr>
      <w:r w:rsidRPr="007466EF">
        <w:rPr>
          <w:color w:val="212121"/>
        </w:rPr>
        <w:t xml:space="preserve"> </w:t>
      </w:r>
    </w:p>
    <w:p w14:paraId="33AD19A8" w14:textId="470141B6" w:rsidR="00D47B54" w:rsidRPr="007466EF" w:rsidRDefault="00D47B54" w:rsidP="00D47B54">
      <w:pPr>
        <w:pStyle w:val="xmsonormal"/>
        <w:shd w:val="clear" w:color="auto" w:fill="FFFFFF"/>
        <w:spacing w:before="0" w:beforeAutospacing="0" w:after="0" w:afterAutospacing="0"/>
        <w:jc w:val="both"/>
        <w:rPr>
          <w:color w:val="212121"/>
        </w:rPr>
      </w:pPr>
      <w:r w:rsidRPr="007466EF">
        <w:rPr>
          <w:color w:val="212121"/>
        </w:rPr>
        <w:t>Od uku</w:t>
      </w:r>
      <w:r w:rsidR="00B80BFC" w:rsidRPr="007466EF">
        <w:rPr>
          <w:color w:val="212121"/>
        </w:rPr>
        <w:t xml:space="preserve">pnog iznosa ostvarenog u 2024. </w:t>
      </w:r>
      <w:r w:rsidRPr="007466EF">
        <w:rPr>
          <w:color w:val="212121"/>
        </w:rPr>
        <w:t xml:space="preserve">14.224.741,37 eura prihoda ostvareno je od uplate Hrvatskih cesta, a </w:t>
      </w:r>
      <w:r w:rsidR="00B80BFC" w:rsidRPr="007466EF">
        <w:rPr>
          <w:color w:val="212121"/>
        </w:rPr>
        <w:t xml:space="preserve">20.837.758,63 eura od uplata Hrvatskih autocesta i Autocesta Rijeka-Zagreb </w:t>
      </w:r>
      <w:r w:rsidRPr="007466EF">
        <w:rPr>
          <w:color w:val="212121"/>
        </w:rPr>
        <w:t>vezano uz financijsko restrukturiranje cestarskih društava odnosno refinanciranja njihovih obveza temelje</w:t>
      </w:r>
      <w:r w:rsidR="00B80BFC" w:rsidRPr="007466EF">
        <w:rPr>
          <w:color w:val="212121"/>
        </w:rPr>
        <w:t>m izdane obveznice 2017.</w:t>
      </w:r>
    </w:p>
    <w:p w14:paraId="12BE01A6" w14:textId="77777777" w:rsidR="00D47B54" w:rsidRPr="007466EF" w:rsidRDefault="00D47B54" w:rsidP="00D47B54">
      <w:pPr>
        <w:pStyle w:val="xmsonormal"/>
        <w:shd w:val="clear" w:color="auto" w:fill="FFFFFF"/>
        <w:spacing w:before="0" w:beforeAutospacing="0" w:after="0" w:afterAutospacing="0"/>
        <w:jc w:val="both"/>
        <w:rPr>
          <w:color w:val="212121"/>
        </w:rPr>
      </w:pPr>
    </w:p>
    <w:p w14:paraId="1E51F8F3" w14:textId="7FE2E982" w:rsidR="00D47B54" w:rsidRPr="007466EF" w:rsidRDefault="00D47B54" w:rsidP="00D47B54">
      <w:pPr>
        <w:pStyle w:val="xmsonormal"/>
        <w:shd w:val="clear" w:color="auto" w:fill="FFFFFF"/>
        <w:spacing w:before="0" w:beforeAutospacing="0" w:after="0" w:afterAutospacing="0"/>
        <w:jc w:val="both"/>
        <w:rPr>
          <w:color w:val="212121"/>
        </w:rPr>
      </w:pPr>
      <w:r w:rsidRPr="007466EF">
        <w:rPr>
          <w:color w:val="212121"/>
        </w:rPr>
        <w:t>Naime, Ugovorom o prijenosu sredstava Ministarstvo f</w:t>
      </w:r>
      <w:r w:rsidR="00B80BFC" w:rsidRPr="007466EF">
        <w:rPr>
          <w:color w:val="212121"/>
        </w:rPr>
        <w:t>inancija je 2017.</w:t>
      </w:r>
      <w:r w:rsidRPr="007466EF">
        <w:rPr>
          <w:color w:val="212121"/>
        </w:rPr>
        <w:t xml:space="preserve"> sredstva prikupljena izdavanjem </w:t>
      </w:r>
      <w:proofErr w:type="spellStart"/>
      <w:r w:rsidRPr="007466EF">
        <w:rPr>
          <w:color w:val="212121"/>
        </w:rPr>
        <w:t>euroobveznica</w:t>
      </w:r>
      <w:proofErr w:type="spellEnd"/>
      <w:r w:rsidRPr="007466EF">
        <w:rPr>
          <w:color w:val="212121"/>
        </w:rPr>
        <w:t xml:space="preserve"> ustupilo u korist HAC-a, ARZ-a i HC-a. Na ustupljena sredstva obračunava se kamata koja je identična onoj koju plaća Ministarstvo financija, te su navedena društva dužna uplatiti iznos obračunatih kamata u korist državnog proračuna prije dospijeća obveze Ministarstva financija. Dodatkom Ugovoru HAC i ARZ nisu bili u obvezi</w:t>
      </w:r>
      <w:r w:rsidR="00B80BFC" w:rsidRPr="007466EF">
        <w:rPr>
          <w:color w:val="212121"/>
        </w:rPr>
        <w:t xml:space="preserve"> plaćanja kamata od 2021. do 2023.</w:t>
      </w:r>
      <w:r w:rsidRPr="007466EF">
        <w:rPr>
          <w:color w:val="212121"/>
        </w:rPr>
        <w:t xml:space="preserve"> s obzirom na to da im je odobren moratorij, dok su Hrvatske ceste u navedenom razdoblju plaćale kamate. Zbog navedenog, prihodi od kamata u 2024. bilježe značajno povećanje.</w:t>
      </w:r>
    </w:p>
    <w:p w14:paraId="69DAC301" w14:textId="77777777" w:rsidR="00864F97" w:rsidRPr="007466EF" w:rsidRDefault="00864F97" w:rsidP="007466EF">
      <w:pPr>
        <w:jc w:val="both"/>
        <w:rPr>
          <w:color w:val="000000"/>
        </w:rPr>
      </w:pPr>
    </w:p>
    <w:p w14:paraId="0877E179" w14:textId="02AA7720" w:rsidR="00864F97" w:rsidRPr="007466EF" w:rsidRDefault="00553092" w:rsidP="00864F97">
      <w:pPr>
        <w:pStyle w:val="Naslov"/>
        <w:keepNext/>
        <w:rPr>
          <w:b w:val="0"/>
          <w:bCs w:val="0"/>
        </w:rPr>
      </w:pPr>
      <w:r w:rsidRPr="007466EF">
        <w:rPr>
          <w:b w:val="0"/>
          <w:bCs w:val="0"/>
        </w:rPr>
        <w:t>Bilješka 19</w:t>
      </w:r>
      <w:r w:rsidR="00864F97" w:rsidRPr="007466EF">
        <w:rPr>
          <w:b w:val="0"/>
          <w:bCs w:val="0"/>
        </w:rPr>
        <w:t>.</w:t>
      </w:r>
    </w:p>
    <w:p w14:paraId="7A1185D7" w14:textId="77777777" w:rsidR="00864F97" w:rsidRPr="007466EF" w:rsidRDefault="00864F97" w:rsidP="00864F97">
      <w:pPr>
        <w:pStyle w:val="Naslov"/>
        <w:keepNext/>
        <w:rPr>
          <w:b w:val="0"/>
          <w:bCs w:val="0"/>
        </w:rPr>
      </w:pPr>
      <w:r w:rsidRPr="007466EF">
        <w:rPr>
          <w:b w:val="0"/>
          <w:bCs w:val="0"/>
        </w:rPr>
        <w:t>Šifra 6634 Povrat kapitalnih pomoći danih trgovačkim društvima i obrtnicima po protestiranim jamstvima</w:t>
      </w:r>
    </w:p>
    <w:p w14:paraId="0D4893BA" w14:textId="71B4A95C" w:rsidR="00864F97" w:rsidRPr="007466EF" w:rsidRDefault="00864F97" w:rsidP="00864F97">
      <w:pPr>
        <w:shd w:val="clear" w:color="auto" w:fill="FFFFFF"/>
        <w:jc w:val="both"/>
        <w:rPr>
          <w:color w:val="000000"/>
        </w:rPr>
      </w:pPr>
      <w:r w:rsidRPr="007466EF">
        <w:rPr>
          <w:color w:val="000000"/>
        </w:rPr>
        <w:t>Prihodi od povrata kapitalnih pomoći danih trgovačkim društvima i obrtnicima po protestiranim jamstvima u 202</w:t>
      </w:r>
      <w:r w:rsidR="00EE3C1A" w:rsidRPr="007466EF">
        <w:rPr>
          <w:color w:val="000000"/>
        </w:rPr>
        <w:t>4</w:t>
      </w:r>
      <w:r w:rsidR="00206C60" w:rsidRPr="007466EF">
        <w:rPr>
          <w:color w:val="000000"/>
        </w:rPr>
        <w:t xml:space="preserve">. </w:t>
      </w:r>
      <w:r w:rsidRPr="007466EF">
        <w:rPr>
          <w:color w:val="000000"/>
        </w:rPr>
        <w:t xml:space="preserve">ostvareni su u iznosu od </w:t>
      </w:r>
      <w:r w:rsidR="00EE3C1A" w:rsidRPr="007466EF">
        <w:rPr>
          <w:color w:val="000000"/>
        </w:rPr>
        <w:t>10.411.049,02</w:t>
      </w:r>
      <w:r w:rsidRPr="007466EF">
        <w:rPr>
          <w:color w:val="000000"/>
        </w:rPr>
        <w:t xml:space="preserve"> eura, dok su u 202</w:t>
      </w:r>
      <w:r w:rsidR="00EE3C1A" w:rsidRPr="007466EF">
        <w:rPr>
          <w:color w:val="000000"/>
        </w:rPr>
        <w:t>3</w:t>
      </w:r>
      <w:r w:rsidR="00206C60" w:rsidRPr="007466EF">
        <w:rPr>
          <w:color w:val="000000"/>
        </w:rPr>
        <w:t xml:space="preserve">. </w:t>
      </w:r>
      <w:r w:rsidRPr="007466EF">
        <w:rPr>
          <w:color w:val="000000"/>
        </w:rPr>
        <w:t xml:space="preserve">ostvareni u iznosu od </w:t>
      </w:r>
      <w:r w:rsidR="00EE3C1A" w:rsidRPr="007466EF">
        <w:rPr>
          <w:color w:val="000000"/>
        </w:rPr>
        <w:t>2.713.003,28</w:t>
      </w:r>
      <w:r w:rsidR="00206C60" w:rsidRPr="007466EF">
        <w:rPr>
          <w:color w:val="000000"/>
        </w:rPr>
        <w:t xml:space="preserve"> eura </w:t>
      </w:r>
      <w:r w:rsidRPr="007466EF">
        <w:rPr>
          <w:color w:val="000000"/>
        </w:rPr>
        <w:t xml:space="preserve">što predstavlja povećanje od </w:t>
      </w:r>
      <w:r w:rsidR="00EE3C1A" w:rsidRPr="007466EF">
        <w:rPr>
          <w:color w:val="000000"/>
        </w:rPr>
        <w:t>283,7</w:t>
      </w:r>
      <w:r w:rsidRPr="007466EF">
        <w:rPr>
          <w:color w:val="000000"/>
        </w:rPr>
        <w:t>% u promatranom razdoblju.</w:t>
      </w:r>
    </w:p>
    <w:p w14:paraId="3457FB8C" w14:textId="77777777" w:rsidR="00864F97" w:rsidRPr="007466EF" w:rsidRDefault="00864F97" w:rsidP="00864F97">
      <w:pPr>
        <w:shd w:val="clear" w:color="auto" w:fill="FFFFFF"/>
        <w:jc w:val="both"/>
        <w:rPr>
          <w:color w:val="000000"/>
        </w:rPr>
      </w:pPr>
    </w:p>
    <w:p w14:paraId="4AB89C12" w14:textId="385E4F5E" w:rsidR="00CA5681" w:rsidRPr="007466EF" w:rsidRDefault="00CA5681" w:rsidP="00206C60">
      <w:pPr>
        <w:shd w:val="clear" w:color="auto" w:fill="FFFFFF"/>
        <w:jc w:val="both"/>
        <w:rPr>
          <w:color w:val="000000"/>
        </w:rPr>
      </w:pPr>
      <w:r w:rsidRPr="007466EF">
        <w:rPr>
          <w:color w:val="000000"/>
        </w:rPr>
        <w:t>U</w:t>
      </w:r>
      <w:r w:rsidR="00A66669" w:rsidRPr="007466EF">
        <w:rPr>
          <w:color w:val="000000"/>
        </w:rPr>
        <w:t xml:space="preserve"> 2024. u</w:t>
      </w:r>
      <w:r w:rsidRPr="007466EF">
        <w:rPr>
          <w:color w:val="000000"/>
        </w:rPr>
        <w:t xml:space="preserve"> stečajnom postupku društva </w:t>
      </w:r>
      <w:r w:rsidR="00C40D2A">
        <w:rPr>
          <w:color w:val="000000"/>
        </w:rPr>
        <w:t>„</w:t>
      </w:r>
      <w:r w:rsidRPr="007466EF">
        <w:rPr>
          <w:color w:val="000000"/>
        </w:rPr>
        <w:t>Stečajna masa iza ULJANIK d.d. u stečaju</w:t>
      </w:r>
      <w:r w:rsidR="00C40D2A">
        <w:rPr>
          <w:color w:val="000000"/>
        </w:rPr>
        <w:t>“</w:t>
      </w:r>
      <w:r w:rsidRPr="007466EF">
        <w:rPr>
          <w:color w:val="000000"/>
        </w:rPr>
        <w:t xml:space="preserve"> naplaćen je iznos od 4.195.738,22 eura prvom djelomičnom diobom stečajne mase.</w:t>
      </w:r>
    </w:p>
    <w:p w14:paraId="198AC8B2" w14:textId="77777777" w:rsidR="00CA5681" w:rsidRPr="007466EF" w:rsidRDefault="00CA5681" w:rsidP="00206C60">
      <w:pPr>
        <w:shd w:val="clear" w:color="auto" w:fill="FFFFFF"/>
        <w:jc w:val="both"/>
        <w:rPr>
          <w:color w:val="000000"/>
        </w:rPr>
      </w:pPr>
    </w:p>
    <w:p w14:paraId="7231C57D" w14:textId="5BD6B322" w:rsidR="00CA5681" w:rsidRPr="007466EF" w:rsidRDefault="00CA5681" w:rsidP="00CA5681">
      <w:pPr>
        <w:jc w:val="both"/>
      </w:pPr>
      <w:r w:rsidRPr="007466EF">
        <w:t xml:space="preserve">Nadalje, iznos od 6.215.310,80 eura ostvaren je prijebojem potraživanja s osnova izdanih i protestiranih državnih jamstava s nekretninama trgovačkog društva ULJANIK d.d. u stečaju. Društvo Uljanik Brodogradilište d.d. u stečaju je bilo založni dužnik za zaduženje društva ULJANIK d.d. u stečaju zbog čega Ministarstvo financija u stečajnom postupku nad društvom Uljanik Brodogradilište d.d. ima pravo namirenja potraživanja iz njegove stečajne mase. </w:t>
      </w:r>
      <w:r w:rsidRPr="007466EF">
        <w:rPr>
          <w:color w:val="212121"/>
        </w:rPr>
        <w:t xml:space="preserve">Ministarstvo financija podmirilo je preostale obveze Ministarstva financija temeljem izdanog i protestiranog državnog jamstva PBZ-u, a za obveze društva ULJANIK d.d. u stečaju u iznosu od 770.120,30 eura. </w:t>
      </w:r>
      <w:r w:rsidRPr="007466EF">
        <w:rPr>
          <w:bCs/>
          <w:color w:val="212121"/>
        </w:rPr>
        <w:t>B</w:t>
      </w:r>
      <w:r w:rsidRPr="007466EF">
        <w:rPr>
          <w:color w:val="212121"/>
        </w:rPr>
        <w:t xml:space="preserve">udući je Ministarstvo financija isplatilo potraživanje PBZ-a plaćanjem po izdanom i protestiranom državnom jamstvu, temeljem zakonske </w:t>
      </w:r>
      <w:proofErr w:type="spellStart"/>
      <w:r w:rsidRPr="007466EF">
        <w:rPr>
          <w:color w:val="212121"/>
        </w:rPr>
        <w:t>subrogacije</w:t>
      </w:r>
      <w:proofErr w:type="spellEnd"/>
      <w:r w:rsidRPr="007466EF">
        <w:rPr>
          <w:color w:val="212121"/>
        </w:rPr>
        <w:t xml:space="preserve"> tražbina PBZ-a prešla je na Ministarstvo financija.</w:t>
      </w:r>
    </w:p>
    <w:p w14:paraId="7A724830" w14:textId="77777777" w:rsidR="00CA5681" w:rsidRPr="007466EF" w:rsidRDefault="00CA5681" w:rsidP="00CA5681">
      <w:pPr>
        <w:pStyle w:val="xmsonormal"/>
        <w:shd w:val="clear" w:color="auto" w:fill="FFFFFF"/>
        <w:spacing w:before="0" w:beforeAutospacing="0" w:after="0" w:afterAutospacing="0"/>
        <w:jc w:val="both"/>
        <w:rPr>
          <w:rFonts w:ascii="Calibri" w:hAnsi="Calibri" w:cs="Calibri"/>
          <w:color w:val="212121"/>
          <w:sz w:val="22"/>
          <w:szCs w:val="22"/>
        </w:rPr>
      </w:pPr>
    </w:p>
    <w:p w14:paraId="4516C693" w14:textId="26D7FD61" w:rsidR="00CA5681" w:rsidRPr="007466EF" w:rsidRDefault="00CA5681" w:rsidP="00CA5681">
      <w:pPr>
        <w:pStyle w:val="xmsonormal"/>
        <w:shd w:val="clear" w:color="auto" w:fill="FFFFFF"/>
        <w:spacing w:before="0" w:beforeAutospacing="0" w:after="0" w:afterAutospacing="0"/>
        <w:jc w:val="both"/>
        <w:rPr>
          <w:color w:val="212121"/>
        </w:rPr>
      </w:pPr>
      <w:r w:rsidRPr="007466EF">
        <w:rPr>
          <w:color w:val="212121"/>
        </w:rPr>
        <w:t>Ministarstvo financija je radi osiguranja potraživanja koja mogu nastati temeljem državnog jamstva zasnovalo hipoteku prvog reda na suvlasničkom dijelu nekretnine u vlasništvu ULJANIK Brodogradilište, d.d. u stečaju. Budući je Ministarstvo financija isplatilo potraživanje PBZ-a plaćanjem po izdanom i protestiranom državnom jamstvu, hipoteka PBZ-a s nekretnine se brisala te je time Ministarstvo financija postalo jedino upisano u teretovnici u zemljišnim knjigama.</w:t>
      </w:r>
    </w:p>
    <w:p w14:paraId="15CCCCFF" w14:textId="77777777" w:rsidR="00CA5681" w:rsidRPr="007466EF" w:rsidRDefault="00CA5681" w:rsidP="00CA5681">
      <w:pPr>
        <w:pStyle w:val="xmsonormal"/>
        <w:shd w:val="clear" w:color="auto" w:fill="FFFFFF"/>
        <w:spacing w:before="0" w:beforeAutospacing="0" w:after="0" w:afterAutospacing="0"/>
        <w:jc w:val="both"/>
        <w:rPr>
          <w:rFonts w:ascii="Calibri" w:hAnsi="Calibri" w:cs="Calibri"/>
          <w:color w:val="212121"/>
          <w:sz w:val="22"/>
          <w:szCs w:val="22"/>
        </w:rPr>
      </w:pPr>
    </w:p>
    <w:p w14:paraId="5B60EC0E" w14:textId="3CF801DB" w:rsidR="00CA5681" w:rsidRPr="007466EF" w:rsidRDefault="00CA5681" w:rsidP="00CA5681">
      <w:pPr>
        <w:pStyle w:val="xmsonormal"/>
        <w:shd w:val="clear" w:color="auto" w:fill="FFFFFF"/>
        <w:spacing w:before="0" w:beforeAutospacing="0" w:after="0" w:afterAutospacing="0"/>
        <w:jc w:val="both"/>
        <w:rPr>
          <w:color w:val="212121"/>
        </w:rPr>
      </w:pPr>
      <w:r w:rsidRPr="007466EF">
        <w:rPr>
          <w:color w:val="212121"/>
        </w:rPr>
        <w:lastRenderedPageBreak/>
        <w:t>Rješenjem Trgovačkog suda u P</w:t>
      </w:r>
      <w:r w:rsidR="000F0D22" w:rsidRPr="007466EF">
        <w:rPr>
          <w:color w:val="212121"/>
        </w:rPr>
        <w:t>azinu od 2. veljače 2024.</w:t>
      </w:r>
      <w:r w:rsidRPr="007466EF">
        <w:rPr>
          <w:color w:val="212121"/>
        </w:rPr>
        <w:t xml:space="preserve"> određena je prodaja nekretnine</w:t>
      </w:r>
      <w:r w:rsidRPr="007466EF">
        <w:rPr>
          <w:color w:val="1F497D"/>
        </w:rPr>
        <w:t xml:space="preserve">, </w:t>
      </w:r>
      <w:r w:rsidRPr="007466EF">
        <w:rPr>
          <w:color w:val="212121"/>
        </w:rPr>
        <w:t xml:space="preserve">Zaključkom Trgovačkog suda u Pazinu od 1. ožujka 2024. utvrđeno je da vrijednost nekretnine iznosi 6.877.962,00 eura te je određeno da prodaju nekretnine provodi FINA elektroničkom javnom dražbom. Ministarstvo financija je 15. svibnja 2024. uplatilo jamčevinu za sudjelovanje u javnoj dražbi u iznosu od 687.796,20 eura. 13. lipnja 2024. Ministarstvo financija je putem Županijskog državnog odvjetništva dostavilo podnesak Trgovačkom sudu u Pazinu da koristi mogućnost predviđenu odredbom članka 247. stavak 7. Stečajnog zakona i kao prvi </w:t>
      </w:r>
      <w:proofErr w:type="spellStart"/>
      <w:r w:rsidRPr="007466EF">
        <w:rPr>
          <w:color w:val="212121"/>
        </w:rPr>
        <w:t>razlučni</w:t>
      </w:r>
      <w:proofErr w:type="spellEnd"/>
      <w:r w:rsidRPr="007466EF">
        <w:rPr>
          <w:color w:val="212121"/>
        </w:rPr>
        <w:t xml:space="preserve"> vjerovnik u </w:t>
      </w:r>
      <w:proofErr w:type="spellStart"/>
      <w:r w:rsidRPr="007466EF">
        <w:rPr>
          <w:color w:val="212121"/>
        </w:rPr>
        <w:t>prednosnom</w:t>
      </w:r>
      <w:proofErr w:type="spellEnd"/>
      <w:r w:rsidRPr="007466EF">
        <w:rPr>
          <w:color w:val="212121"/>
        </w:rPr>
        <w:t xml:space="preserve"> redu daje Izjavu da kupuje predmetnu nekretninu i da stavlja u prijeboj svoju tražbinu s </w:t>
      </w:r>
      <w:proofErr w:type="spellStart"/>
      <w:r w:rsidRPr="007466EF">
        <w:rPr>
          <w:color w:val="212121"/>
        </w:rPr>
        <w:t>protutražbinom</w:t>
      </w:r>
      <w:proofErr w:type="spellEnd"/>
      <w:r w:rsidRPr="007466EF">
        <w:rPr>
          <w:color w:val="212121"/>
        </w:rPr>
        <w:t xml:space="preserve"> stečajnog dužnika po osnovi cijene u visini utvrđene vrijednosti nek</w:t>
      </w:r>
      <w:r w:rsidR="000F0D22" w:rsidRPr="007466EF">
        <w:rPr>
          <w:color w:val="212121"/>
        </w:rPr>
        <w:t>retnine. 16. srpnja 2024.</w:t>
      </w:r>
      <w:r w:rsidRPr="007466EF">
        <w:rPr>
          <w:color w:val="212121"/>
        </w:rPr>
        <w:t xml:space="preserve"> Trgovački sud u Pazinu donio je Rješenje kojim se kupcu Republici Hrvatskoj dosuđuje navedena nekretnina za iznos od 6.877.962,00 eu</w:t>
      </w:r>
      <w:r w:rsidR="000F0D22" w:rsidRPr="007466EF">
        <w:rPr>
          <w:color w:val="212121"/>
        </w:rPr>
        <w:t xml:space="preserve">ra, a 21. kolovoza 2024. </w:t>
      </w:r>
      <w:r w:rsidRPr="007466EF">
        <w:rPr>
          <w:color w:val="212121"/>
        </w:rPr>
        <w:t xml:space="preserve">Trgovački sud u Pazinu donio je Rješenje o namirenju prema kojem se iz iznosa </w:t>
      </w:r>
      <w:proofErr w:type="spellStart"/>
      <w:r w:rsidRPr="007466EF">
        <w:rPr>
          <w:color w:val="212121"/>
        </w:rPr>
        <w:t>kupovnine</w:t>
      </w:r>
      <w:proofErr w:type="spellEnd"/>
      <w:r w:rsidRPr="007466EF">
        <w:rPr>
          <w:color w:val="212121"/>
        </w:rPr>
        <w:t xml:space="preserve"> 6.877.962,00 eura ostvarene prodajom navedene nekretnine namiruju troškovi unovčenja u iznosu od 662.651,20 eura. Stoga je </w:t>
      </w:r>
      <w:proofErr w:type="spellStart"/>
      <w:r w:rsidRPr="007466EF">
        <w:rPr>
          <w:color w:val="212121"/>
        </w:rPr>
        <w:t>razlučni</w:t>
      </w:r>
      <w:proofErr w:type="spellEnd"/>
      <w:r w:rsidRPr="007466EF">
        <w:rPr>
          <w:color w:val="212121"/>
        </w:rPr>
        <w:t xml:space="preserve"> vjerovnik Republika Hrvatska u dijelu potraživanja namiren u visini od 6.215.310,80 eura i to prijebojem sa tražbinom stečajnog dužnika za isplatu </w:t>
      </w:r>
      <w:proofErr w:type="spellStart"/>
      <w:r w:rsidRPr="007466EF">
        <w:rPr>
          <w:color w:val="212121"/>
        </w:rPr>
        <w:t>kupovnine</w:t>
      </w:r>
      <w:proofErr w:type="spellEnd"/>
      <w:r w:rsidRPr="007466EF">
        <w:rPr>
          <w:color w:val="212121"/>
        </w:rPr>
        <w:t>.</w:t>
      </w:r>
    </w:p>
    <w:p w14:paraId="79091DC6" w14:textId="7BFDD393" w:rsidR="00D47B54" w:rsidRPr="007466EF" w:rsidRDefault="00D47B54" w:rsidP="007466EF">
      <w:pPr>
        <w:jc w:val="both"/>
        <w:rPr>
          <w:color w:val="000000"/>
        </w:rPr>
      </w:pPr>
    </w:p>
    <w:p w14:paraId="54207F66" w14:textId="301D9FCB" w:rsidR="00D47B54" w:rsidRPr="007466EF" w:rsidRDefault="00553092" w:rsidP="00D47B54">
      <w:pPr>
        <w:pStyle w:val="Naslov"/>
        <w:keepNext/>
        <w:rPr>
          <w:b w:val="0"/>
          <w:bCs w:val="0"/>
        </w:rPr>
      </w:pPr>
      <w:r w:rsidRPr="007466EF">
        <w:rPr>
          <w:b w:val="0"/>
          <w:bCs w:val="0"/>
        </w:rPr>
        <w:t>Bilješka 20</w:t>
      </w:r>
      <w:r w:rsidR="00D47B54" w:rsidRPr="007466EF">
        <w:rPr>
          <w:b w:val="0"/>
          <w:bCs w:val="0"/>
        </w:rPr>
        <w:t>.</w:t>
      </w:r>
    </w:p>
    <w:p w14:paraId="7DC45CBE" w14:textId="77777777" w:rsidR="00D47B54" w:rsidRPr="007466EF" w:rsidRDefault="00D47B54" w:rsidP="00D47B54">
      <w:pPr>
        <w:pStyle w:val="Naslov"/>
        <w:keepNext/>
        <w:rPr>
          <w:b w:val="0"/>
          <w:bCs w:val="0"/>
        </w:rPr>
      </w:pPr>
      <w:r w:rsidRPr="007466EF">
        <w:rPr>
          <w:b w:val="0"/>
          <w:bCs w:val="0"/>
        </w:rPr>
        <w:t>Šifra 683 Ostali prihodi</w:t>
      </w:r>
    </w:p>
    <w:p w14:paraId="7126EC6B" w14:textId="2DE770E8" w:rsidR="00D47B54" w:rsidRPr="007466EF" w:rsidRDefault="00D47B54" w:rsidP="00D47B54">
      <w:pPr>
        <w:pStyle w:val="xmsonormal"/>
        <w:shd w:val="clear" w:color="auto" w:fill="FFFFFF"/>
        <w:spacing w:before="0" w:beforeAutospacing="0" w:after="0" w:afterAutospacing="0"/>
        <w:jc w:val="both"/>
        <w:rPr>
          <w:color w:val="212121"/>
        </w:rPr>
      </w:pPr>
      <w:r w:rsidRPr="007466EF">
        <w:rPr>
          <w:color w:val="212121"/>
        </w:rPr>
        <w:t xml:space="preserve">U 2024. ostali prihodi ostvareni su u iznosu od </w:t>
      </w:r>
      <w:r w:rsidR="00EE3C1A" w:rsidRPr="007466EF">
        <w:rPr>
          <w:color w:val="212121"/>
        </w:rPr>
        <w:t>129.348.927,84</w:t>
      </w:r>
      <w:r w:rsidRPr="007466EF">
        <w:rPr>
          <w:color w:val="212121"/>
        </w:rPr>
        <w:t xml:space="preserve"> eura </w:t>
      </w:r>
      <w:r w:rsidR="00CA5681" w:rsidRPr="007466EF">
        <w:rPr>
          <w:color w:val="212121"/>
        </w:rPr>
        <w:t>dok su u 2023. ostvareni u iznosu od</w:t>
      </w:r>
      <w:r w:rsidRPr="007466EF">
        <w:rPr>
          <w:color w:val="212121"/>
        </w:rPr>
        <w:t xml:space="preserve"> </w:t>
      </w:r>
      <w:r w:rsidR="00EE3C1A" w:rsidRPr="007466EF">
        <w:rPr>
          <w:color w:val="212121"/>
        </w:rPr>
        <w:t>4.272</w:t>
      </w:r>
      <w:r w:rsidR="00A66669" w:rsidRPr="007466EF">
        <w:rPr>
          <w:color w:val="212121"/>
        </w:rPr>
        <w:t>.</w:t>
      </w:r>
      <w:r w:rsidR="00EE3C1A" w:rsidRPr="007466EF">
        <w:rPr>
          <w:color w:val="212121"/>
        </w:rPr>
        <w:t>577,55</w:t>
      </w:r>
      <w:r w:rsidRPr="007466EF">
        <w:rPr>
          <w:color w:val="212121"/>
        </w:rPr>
        <w:t xml:space="preserve"> eura </w:t>
      </w:r>
      <w:r w:rsidR="00EE3C1A" w:rsidRPr="007466EF">
        <w:rPr>
          <w:color w:val="212121"/>
        </w:rPr>
        <w:t>što predstavlja povećanje od 2.927,4</w:t>
      </w:r>
      <w:r w:rsidRPr="007466EF">
        <w:rPr>
          <w:color w:val="212121"/>
        </w:rPr>
        <w:t xml:space="preserve">% u promatranom razdoblju. </w:t>
      </w:r>
    </w:p>
    <w:p w14:paraId="7D48A766" w14:textId="77777777" w:rsidR="00D47B54" w:rsidRPr="007466EF" w:rsidRDefault="00D47B54" w:rsidP="00D47B54">
      <w:pPr>
        <w:pStyle w:val="xmsonormal"/>
        <w:shd w:val="clear" w:color="auto" w:fill="FFFFFF"/>
        <w:spacing w:before="0" w:beforeAutospacing="0" w:after="0" w:afterAutospacing="0"/>
        <w:jc w:val="both"/>
        <w:rPr>
          <w:color w:val="212121"/>
        </w:rPr>
      </w:pPr>
    </w:p>
    <w:p w14:paraId="39695B64" w14:textId="6258DBFB" w:rsidR="002A229E" w:rsidRPr="007466EF" w:rsidRDefault="002A229E" w:rsidP="002A229E">
      <w:pPr>
        <w:shd w:val="clear" w:color="auto" w:fill="FFFFFF"/>
        <w:jc w:val="both"/>
        <w:rPr>
          <w:color w:val="000000"/>
        </w:rPr>
      </w:pPr>
      <w:r w:rsidRPr="007466EF">
        <w:rPr>
          <w:color w:val="000000"/>
        </w:rPr>
        <w:t>Vlada RH je u siječnju 2024. donijela </w:t>
      </w:r>
      <w:r w:rsidRPr="007466EF">
        <w:rPr>
          <w:i/>
          <w:iCs/>
          <w:color w:val="000000"/>
        </w:rPr>
        <w:t>Odluku o izmjenama Odluke o osiguranju zaliha plina na teritoriju Republike Hrvatske (Narodne novine br. 5/2024). </w:t>
      </w:r>
      <w:r w:rsidRPr="007466EF">
        <w:rPr>
          <w:color w:val="000000"/>
        </w:rPr>
        <w:t xml:space="preserve"> Sukladno Odluci propisano je da će HEP d.d. prema mjesečnoj dinamici isporuke plina iz zaliha, a prema izvršenoj naplati od prodaje plina, uplatiti na jedinstveni račun državnog proračuna RH iznos koji odgovara isporučenoj količini plina pomnoženoj s važećom cijenom opskrbe plinom utvrđene sukladno važećoj Metodologiji utvrđivanja iznosa tarifnih stavki za javnu uslugu opskrbe plinom i zajamčenu opskrbu u trenutku isporuke. </w:t>
      </w:r>
      <w:r w:rsidR="00A235B5" w:rsidRPr="007466EF">
        <w:rPr>
          <w:color w:val="000000"/>
        </w:rPr>
        <w:t>Društvo HEP d.d. u 2024. uplatilo</w:t>
      </w:r>
      <w:r w:rsidRPr="007466EF">
        <w:rPr>
          <w:color w:val="000000"/>
        </w:rPr>
        <w:t xml:space="preserve"> je 122.403.136,27 eura</w:t>
      </w:r>
      <w:r w:rsidR="00A66669" w:rsidRPr="007466EF">
        <w:rPr>
          <w:color w:val="000000"/>
        </w:rPr>
        <w:t xml:space="preserve"> u državni proračun</w:t>
      </w:r>
      <w:r w:rsidRPr="007466EF">
        <w:rPr>
          <w:color w:val="000000"/>
        </w:rPr>
        <w:t>.</w:t>
      </w:r>
    </w:p>
    <w:p w14:paraId="4F39D437" w14:textId="4523F597" w:rsidR="00D47B54" w:rsidRPr="007466EF" w:rsidRDefault="00D47B54" w:rsidP="007466EF">
      <w:pPr>
        <w:jc w:val="both"/>
        <w:rPr>
          <w:color w:val="000000"/>
        </w:rPr>
      </w:pPr>
    </w:p>
    <w:p w14:paraId="31DD9A69" w14:textId="361EFD1A" w:rsidR="00055EAE" w:rsidRPr="007466EF" w:rsidRDefault="00055EAE" w:rsidP="00055EAE">
      <w:pPr>
        <w:pStyle w:val="Naslov"/>
        <w:keepNext/>
        <w:rPr>
          <w:b w:val="0"/>
          <w:bCs w:val="0"/>
        </w:rPr>
      </w:pPr>
      <w:r w:rsidRPr="007466EF">
        <w:rPr>
          <w:b w:val="0"/>
          <w:bCs w:val="0"/>
        </w:rPr>
        <w:t xml:space="preserve">Bilješka </w:t>
      </w:r>
      <w:r w:rsidR="00553092" w:rsidRPr="007466EF">
        <w:rPr>
          <w:b w:val="0"/>
          <w:bCs w:val="0"/>
        </w:rPr>
        <w:t>21</w:t>
      </w:r>
      <w:r w:rsidRPr="007466EF">
        <w:rPr>
          <w:b w:val="0"/>
          <w:bCs w:val="0"/>
        </w:rPr>
        <w:t>.</w:t>
      </w:r>
    </w:p>
    <w:p w14:paraId="1D798A75" w14:textId="77777777" w:rsidR="00055EAE" w:rsidRPr="007466EF" w:rsidRDefault="00055EAE" w:rsidP="00055EAE">
      <w:pPr>
        <w:pStyle w:val="Naslov"/>
        <w:keepNext/>
        <w:rPr>
          <w:b w:val="0"/>
          <w:bCs w:val="0"/>
        </w:rPr>
      </w:pPr>
      <w:r w:rsidRPr="007466EF">
        <w:rPr>
          <w:b w:val="0"/>
          <w:bCs w:val="0"/>
        </w:rPr>
        <w:t>Šifra 3233 Usluge promidžbe i informiranja</w:t>
      </w:r>
    </w:p>
    <w:p w14:paraId="5AC17BF3" w14:textId="7B241AFF" w:rsidR="00055EAE" w:rsidRPr="007466EF" w:rsidRDefault="00055EAE" w:rsidP="00055EAE">
      <w:pPr>
        <w:jc w:val="both"/>
      </w:pPr>
      <w:r w:rsidRPr="007466EF">
        <w:t xml:space="preserve">U 2024. rashodi za usluge promidžbe i informiranja </w:t>
      </w:r>
      <w:r w:rsidR="00A66669" w:rsidRPr="007466EF">
        <w:t>ostvareni</w:t>
      </w:r>
      <w:r w:rsidRPr="007466EF">
        <w:t xml:space="preserve"> su u iznosu od 2.246.792,25 eura, dok u 2023. nije bilo </w:t>
      </w:r>
      <w:r w:rsidR="00A66669" w:rsidRPr="007466EF">
        <w:t>ostvarenih</w:t>
      </w:r>
      <w:r w:rsidRPr="007466EF">
        <w:t xml:space="preserve"> rashoda s navedene osnove što predstavlja stopostotno povećanje kroz promatrano razdoblje. Iznos </w:t>
      </w:r>
      <w:r w:rsidR="00A66669" w:rsidRPr="007466EF">
        <w:t>ostvarenih</w:t>
      </w:r>
      <w:r w:rsidRPr="007466EF">
        <w:t xml:space="preserve"> rashoda na ime usluga promidžbe i informiranja odnosi se na trošak financiranja informativne kampanje zamjene hrvatske kune eurom u sklopu projekta ECFIN/140/2022/SI2.878116 ,,</w:t>
      </w:r>
      <w:proofErr w:type="spellStart"/>
      <w:r w:rsidRPr="007466EF">
        <w:t>Communication</w:t>
      </w:r>
      <w:proofErr w:type="spellEnd"/>
      <w:r w:rsidRPr="007466EF">
        <w:t xml:space="preserve"> </w:t>
      </w:r>
      <w:proofErr w:type="spellStart"/>
      <w:r w:rsidRPr="007466EF">
        <w:t>Campaign</w:t>
      </w:r>
      <w:proofErr w:type="spellEnd"/>
      <w:r w:rsidRPr="007466EF">
        <w:t xml:space="preserve"> on </w:t>
      </w:r>
      <w:proofErr w:type="spellStart"/>
      <w:r w:rsidRPr="007466EF">
        <w:t>Croatia's</w:t>
      </w:r>
      <w:proofErr w:type="spellEnd"/>
      <w:r w:rsidRPr="007466EF">
        <w:t xml:space="preserve"> euro </w:t>
      </w:r>
      <w:proofErr w:type="spellStart"/>
      <w:r w:rsidRPr="007466EF">
        <w:t>changeover</w:t>
      </w:r>
      <w:proofErr w:type="spellEnd"/>
      <w:r w:rsidRPr="007466EF">
        <w:t>“.</w:t>
      </w:r>
    </w:p>
    <w:p w14:paraId="2DD319E0" w14:textId="5B9C4953" w:rsidR="00864F97" w:rsidRPr="007466EF" w:rsidRDefault="00864F97" w:rsidP="007466EF">
      <w:pPr>
        <w:jc w:val="both"/>
        <w:rPr>
          <w:color w:val="000000"/>
        </w:rPr>
      </w:pPr>
    </w:p>
    <w:p w14:paraId="16947C3F" w14:textId="68C15C7D" w:rsidR="00864F97" w:rsidRPr="007466EF" w:rsidRDefault="00A235B5" w:rsidP="00864F97">
      <w:pPr>
        <w:pStyle w:val="Naslov"/>
        <w:keepNext/>
        <w:rPr>
          <w:b w:val="0"/>
          <w:bCs w:val="0"/>
        </w:rPr>
      </w:pPr>
      <w:r w:rsidRPr="007466EF">
        <w:rPr>
          <w:b w:val="0"/>
          <w:bCs w:val="0"/>
        </w:rPr>
        <w:t xml:space="preserve">Bilješka </w:t>
      </w:r>
      <w:r w:rsidR="00EB2355" w:rsidRPr="007466EF">
        <w:rPr>
          <w:b w:val="0"/>
          <w:bCs w:val="0"/>
        </w:rPr>
        <w:t>2</w:t>
      </w:r>
      <w:r w:rsidR="00553092" w:rsidRPr="007466EF">
        <w:rPr>
          <w:b w:val="0"/>
          <w:bCs w:val="0"/>
        </w:rPr>
        <w:t>2</w:t>
      </w:r>
      <w:r w:rsidR="00864F97" w:rsidRPr="007466EF">
        <w:rPr>
          <w:b w:val="0"/>
          <w:bCs w:val="0"/>
        </w:rPr>
        <w:t>.</w:t>
      </w:r>
    </w:p>
    <w:p w14:paraId="596F4202" w14:textId="77777777" w:rsidR="00864F97" w:rsidRPr="007466EF" w:rsidRDefault="00864F97" w:rsidP="00864F97">
      <w:pPr>
        <w:pStyle w:val="Naslov"/>
        <w:keepNext/>
        <w:rPr>
          <w:b w:val="0"/>
          <w:bCs w:val="0"/>
        </w:rPr>
      </w:pPr>
      <w:r w:rsidRPr="007466EF">
        <w:rPr>
          <w:b w:val="0"/>
          <w:bCs w:val="0"/>
        </w:rPr>
        <w:t>Šifra 3235 Zakupnine i najamnine</w:t>
      </w:r>
    </w:p>
    <w:p w14:paraId="05F09200" w14:textId="06417BB5" w:rsidR="00055EAE" w:rsidRPr="007466EF" w:rsidRDefault="00055EAE" w:rsidP="00055EAE">
      <w:pPr>
        <w:jc w:val="both"/>
        <w:rPr>
          <w:bCs/>
        </w:rPr>
      </w:pPr>
      <w:r w:rsidRPr="007466EF">
        <w:rPr>
          <w:bCs/>
        </w:rPr>
        <w:t>Rashodi z</w:t>
      </w:r>
      <w:r w:rsidR="00A235B5" w:rsidRPr="007466EF">
        <w:rPr>
          <w:bCs/>
        </w:rPr>
        <w:t>a zakupnine i najamnine u 2024.</w:t>
      </w:r>
      <w:r w:rsidR="00DF6FEE" w:rsidRPr="007466EF">
        <w:rPr>
          <w:bCs/>
        </w:rPr>
        <w:t xml:space="preserve"> </w:t>
      </w:r>
      <w:r w:rsidRPr="007466EF">
        <w:rPr>
          <w:bCs/>
        </w:rPr>
        <w:t xml:space="preserve">ostvareni su u iznosu od </w:t>
      </w:r>
      <w:r w:rsidR="00DF6FEE" w:rsidRPr="007466EF">
        <w:rPr>
          <w:bCs/>
        </w:rPr>
        <w:t>408.802,59</w:t>
      </w:r>
      <w:r w:rsidRPr="007466EF">
        <w:rPr>
          <w:bCs/>
        </w:rPr>
        <w:t xml:space="preserve"> eura i bilježe smanjenje od </w:t>
      </w:r>
      <w:r w:rsidR="00DF6FEE" w:rsidRPr="007466EF">
        <w:rPr>
          <w:bCs/>
        </w:rPr>
        <w:t>65,9</w:t>
      </w:r>
      <w:r w:rsidRPr="007466EF">
        <w:rPr>
          <w:bCs/>
        </w:rPr>
        <w:t>% u odnosu na izvršene rashode z</w:t>
      </w:r>
      <w:r w:rsidR="00A235B5" w:rsidRPr="007466EF">
        <w:rPr>
          <w:bCs/>
        </w:rPr>
        <w:t>a zakupnine i najamnine u 2023.</w:t>
      </w:r>
    </w:p>
    <w:p w14:paraId="791DADE3" w14:textId="77777777" w:rsidR="00055EAE" w:rsidRPr="007466EF" w:rsidRDefault="00055EAE" w:rsidP="00055EAE">
      <w:pPr>
        <w:jc w:val="both"/>
        <w:rPr>
          <w:bCs/>
        </w:rPr>
      </w:pPr>
    </w:p>
    <w:p w14:paraId="3D43AB5D" w14:textId="5CC8263F" w:rsidR="00DF6FEE" w:rsidRPr="007466EF" w:rsidRDefault="00055EAE" w:rsidP="00055EAE">
      <w:pPr>
        <w:jc w:val="both"/>
        <w:rPr>
          <w:bCs/>
        </w:rPr>
      </w:pPr>
      <w:r w:rsidRPr="007466EF">
        <w:rPr>
          <w:bCs/>
        </w:rPr>
        <w:t xml:space="preserve">Rashodi za zakupnine i najamnine odnose se na troškove na ime naknade za korištenje kopnene površine otvorenog i zatvorenog prostora, a vezano za smještaj broda u gradnji ULJANIK 531, koji je u vlasništvu Republike </w:t>
      </w:r>
      <w:r w:rsidR="00A66669" w:rsidRPr="007466EF">
        <w:rPr>
          <w:bCs/>
        </w:rPr>
        <w:t xml:space="preserve">Hrvatske. S obzirom na to da je prema Sporazumu između Republike Hrvatske, Ministarstva financija i društva ULJANIK Brodogradnja 1856 d.o.o. koji </w:t>
      </w:r>
      <w:r w:rsidR="00A66669" w:rsidRPr="007466EF">
        <w:rPr>
          <w:bCs/>
        </w:rPr>
        <w:lastRenderedPageBreak/>
        <w:t xml:space="preserve">je sklopljen </w:t>
      </w:r>
      <w:r w:rsidR="00A66669" w:rsidRPr="007466EF">
        <w:t xml:space="preserve"> </w:t>
      </w:r>
      <w:r w:rsidR="00A66669" w:rsidRPr="007466EF">
        <w:rPr>
          <w:bCs/>
        </w:rPr>
        <w:t>24. ožujka 2023. Republika Hrvatska, Ministarstvo financija bilo obvezno u 2023. podmirit troškove na ime naknade za korištenje prostora od 14. srpnja 2021., u 2023. podmireni su troškovi za razdoblje od 14.srpnja 2021. do 31. prosinca 2023. U 2024. podmireni su troškovi koji se odnose samo na 2024., zbog čega je ostvareno smanjenje rashoda u promatranom razdoblju.</w:t>
      </w:r>
    </w:p>
    <w:p w14:paraId="34832027" w14:textId="77777777" w:rsidR="00864F97" w:rsidRPr="007466EF" w:rsidRDefault="00864F97" w:rsidP="007466EF">
      <w:pPr>
        <w:jc w:val="both"/>
        <w:rPr>
          <w:color w:val="000000"/>
        </w:rPr>
      </w:pPr>
    </w:p>
    <w:p w14:paraId="25754B6A" w14:textId="3E554757" w:rsidR="00864F97" w:rsidRPr="007466EF" w:rsidRDefault="00B725E7" w:rsidP="00864F97">
      <w:pPr>
        <w:pStyle w:val="Naslov"/>
        <w:keepNext/>
        <w:rPr>
          <w:b w:val="0"/>
          <w:bCs w:val="0"/>
        </w:rPr>
      </w:pPr>
      <w:r w:rsidRPr="007466EF">
        <w:rPr>
          <w:b w:val="0"/>
          <w:bCs w:val="0"/>
        </w:rPr>
        <w:t>Bilješka 23</w:t>
      </w:r>
      <w:r w:rsidR="00864F97" w:rsidRPr="007466EF">
        <w:rPr>
          <w:b w:val="0"/>
          <w:bCs w:val="0"/>
        </w:rPr>
        <w:t>.</w:t>
      </w:r>
    </w:p>
    <w:p w14:paraId="764DCBA3" w14:textId="218A30C4" w:rsidR="00B725E7" w:rsidRPr="007466EF" w:rsidRDefault="00B725E7" w:rsidP="00B725E7">
      <w:pPr>
        <w:pStyle w:val="Naslov"/>
        <w:keepNext/>
        <w:rPr>
          <w:b w:val="0"/>
          <w:bCs w:val="0"/>
        </w:rPr>
      </w:pPr>
      <w:r w:rsidRPr="007466EF">
        <w:rPr>
          <w:b w:val="0"/>
          <w:bCs w:val="0"/>
        </w:rPr>
        <w:t>Šifra 3238 Računalne usluge</w:t>
      </w:r>
    </w:p>
    <w:p w14:paraId="2DC70411" w14:textId="77183F1D" w:rsidR="00864F97" w:rsidRPr="007466EF" w:rsidRDefault="00864F97" w:rsidP="00864F97">
      <w:pPr>
        <w:jc w:val="both"/>
      </w:pPr>
      <w:r w:rsidRPr="007466EF">
        <w:t>Rashodi za računalne usluge najvećim se dijelom odnose na rashode održavanja računalnih informacijskih sustava za podršku radu informacijskog sustava državne riznice temeljem Ugovora o obavljanju određenih poslova za potrebe Ministarstva financija zaključenog s Financijskom agencijom (FINA). U 202</w:t>
      </w:r>
      <w:r w:rsidR="0072041E" w:rsidRPr="007466EF">
        <w:t>4</w:t>
      </w:r>
      <w:r w:rsidR="008628B3" w:rsidRPr="007466EF">
        <w:t>.</w:t>
      </w:r>
      <w:r w:rsidRPr="007466EF">
        <w:t xml:space="preserve"> rashodi za računalne usluge iskazani su u iznosu od </w:t>
      </w:r>
      <w:r w:rsidR="0072041E" w:rsidRPr="007466EF">
        <w:t>4.205.738,77</w:t>
      </w:r>
      <w:r w:rsidRPr="007466EF">
        <w:t xml:space="preserve"> eura i bilježe porast od </w:t>
      </w:r>
      <w:r w:rsidR="0072041E" w:rsidRPr="007466EF">
        <w:t>51,9</w:t>
      </w:r>
      <w:r w:rsidRPr="007466EF">
        <w:t>% u odnosu na izvršene rashode 202</w:t>
      </w:r>
      <w:r w:rsidR="0072041E" w:rsidRPr="007466EF">
        <w:t>3</w:t>
      </w:r>
      <w:r w:rsidR="008628B3" w:rsidRPr="007466EF">
        <w:t>.</w:t>
      </w:r>
      <w:r w:rsidR="0089501B" w:rsidRPr="007466EF">
        <w:t>, a na navedeno povećanje u 2024</w:t>
      </w:r>
      <w:r w:rsidRPr="007466EF">
        <w:t xml:space="preserve">. utjecao je rashod za nabavu digitalne platforme za vrijednosne papire E-riznica u iznosu od </w:t>
      </w:r>
      <w:r w:rsidR="0089501B" w:rsidRPr="007466EF">
        <w:t>1.939.179,18</w:t>
      </w:r>
      <w:r w:rsidRPr="007466EF">
        <w:t xml:space="preserve"> eura.</w:t>
      </w:r>
    </w:p>
    <w:p w14:paraId="67924941" w14:textId="35ADD5B3" w:rsidR="00055EAE" w:rsidRPr="007466EF" w:rsidRDefault="00055EAE" w:rsidP="00864F97">
      <w:pPr>
        <w:jc w:val="both"/>
        <w:rPr>
          <w:color w:val="000000"/>
        </w:rPr>
      </w:pPr>
    </w:p>
    <w:p w14:paraId="3FE31198" w14:textId="39191A8F" w:rsidR="00055EAE" w:rsidRPr="007466EF" w:rsidRDefault="00B725E7" w:rsidP="00055EAE">
      <w:pPr>
        <w:pStyle w:val="Naslov"/>
        <w:keepNext/>
        <w:rPr>
          <w:b w:val="0"/>
          <w:bCs w:val="0"/>
        </w:rPr>
      </w:pPr>
      <w:r w:rsidRPr="007466EF">
        <w:rPr>
          <w:b w:val="0"/>
          <w:bCs w:val="0"/>
        </w:rPr>
        <w:t>Bilješka 24</w:t>
      </w:r>
      <w:r w:rsidR="00055EAE" w:rsidRPr="007466EF">
        <w:rPr>
          <w:b w:val="0"/>
          <w:bCs w:val="0"/>
        </w:rPr>
        <w:t>.</w:t>
      </w:r>
    </w:p>
    <w:p w14:paraId="0C7D26EE" w14:textId="77777777" w:rsidR="00055EAE" w:rsidRPr="007466EF" w:rsidRDefault="00055EAE" w:rsidP="00055EAE">
      <w:pPr>
        <w:pStyle w:val="Naslov"/>
        <w:keepNext/>
        <w:rPr>
          <w:b w:val="0"/>
          <w:bCs w:val="0"/>
        </w:rPr>
      </w:pPr>
      <w:r w:rsidRPr="007466EF">
        <w:rPr>
          <w:b w:val="0"/>
          <w:bCs w:val="0"/>
        </w:rPr>
        <w:t>Šifra 3296 Troškovi sudskih postupaka</w:t>
      </w:r>
    </w:p>
    <w:p w14:paraId="384B23EC" w14:textId="643E4551" w:rsidR="00055EAE" w:rsidRPr="007466EF" w:rsidRDefault="00055EAE" w:rsidP="00055EAE">
      <w:pPr>
        <w:jc w:val="both"/>
        <w:rPr>
          <w:bCs/>
        </w:rPr>
      </w:pPr>
      <w:r w:rsidRPr="007466EF">
        <w:t>U 202</w:t>
      </w:r>
      <w:r w:rsidR="00B725E7" w:rsidRPr="007466EF">
        <w:t>4. troškovi sudskih postupaka ostvareni</w:t>
      </w:r>
      <w:r w:rsidRPr="007466EF">
        <w:t xml:space="preserve"> su u iznosu od </w:t>
      </w:r>
      <w:r w:rsidR="003A2206" w:rsidRPr="007466EF">
        <w:t>5.933.895,53</w:t>
      </w:r>
      <w:r w:rsidRPr="007466EF">
        <w:t xml:space="preserve"> eura što predstavlja povećanje od </w:t>
      </w:r>
      <w:r w:rsidR="003A2206" w:rsidRPr="007466EF">
        <w:t>12.940</w:t>
      </w:r>
      <w:r w:rsidRPr="007466EF">
        <w:t xml:space="preserve">% u odnosu na </w:t>
      </w:r>
      <w:r w:rsidR="003A2206" w:rsidRPr="007466EF">
        <w:t>45.503,94</w:t>
      </w:r>
      <w:r w:rsidRPr="007466EF">
        <w:t xml:space="preserve"> eura </w:t>
      </w:r>
      <w:r w:rsidR="00B725E7" w:rsidRPr="007466EF">
        <w:rPr>
          <w:bCs/>
        </w:rPr>
        <w:t>ostvarenih</w:t>
      </w:r>
      <w:r w:rsidRPr="007466EF">
        <w:rPr>
          <w:bCs/>
        </w:rPr>
        <w:t xml:space="preserve"> </w:t>
      </w:r>
      <w:r w:rsidR="003A2206" w:rsidRPr="007466EF">
        <w:rPr>
          <w:bCs/>
        </w:rPr>
        <w:t>u</w:t>
      </w:r>
      <w:r w:rsidR="008628B3" w:rsidRPr="007466EF">
        <w:rPr>
          <w:bCs/>
        </w:rPr>
        <w:t xml:space="preserve"> 2023</w:t>
      </w:r>
      <w:r w:rsidR="003A2206" w:rsidRPr="007466EF">
        <w:rPr>
          <w:bCs/>
        </w:rPr>
        <w:t>.</w:t>
      </w:r>
      <w:r w:rsidRPr="007466EF">
        <w:rPr>
          <w:bCs/>
        </w:rPr>
        <w:t xml:space="preserve"> </w:t>
      </w:r>
      <w:r w:rsidR="008628B3" w:rsidRPr="007466EF">
        <w:rPr>
          <w:bCs/>
        </w:rPr>
        <w:t xml:space="preserve">Najznačajniji </w:t>
      </w:r>
      <w:r w:rsidR="00A66669" w:rsidRPr="007466EF">
        <w:rPr>
          <w:bCs/>
        </w:rPr>
        <w:t xml:space="preserve">iznos </w:t>
      </w:r>
      <w:r w:rsidR="003A2206" w:rsidRPr="007466EF">
        <w:rPr>
          <w:bCs/>
        </w:rPr>
        <w:t>o</w:t>
      </w:r>
      <w:r w:rsidR="00A66669" w:rsidRPr="007466EF">
        <w:rPr>
          <w:bCs/>
        </w:rPr>
        <w:t>d ostvarenih</w:t>
      </w:r>
      <w:r w:rsidR="003A2206" w:rsidRPr="007466EF">
        <w:rPr>
          <w:bCs/>
        </w:rPr>
        <w:t xml:space="preserve"> 2.461.858,73 eura odnosi se na plaćanje sukladno pravomoćnoj presudi Trgovačkog su</w:t>
      </w:r>
      <w:r w:rsidR="008628B3" w:rsidRPr="007466EF">
        <w:rPr>
          <w:bCs/>
        </w:rPr>
        <w:t>da u Rijeci od 10. lipnja 2022.</w:t>
      </w:r>
      <w:r w:rsidR="003A2206" w:rsidRPr="007466EF">
        <w:rPr>
          <w:bCs/>
        </w:rPr>
        <w:t xml:space="preserve"> zbog neizdavanja obveznica za devizna sredstva ostvarena prodajom stanova sa stanarskim</w:t>
      </w:r>
      <w:r w:rsidR="00A66669" w:rsidRPr="007466EF">
        <w:rPr>
          <w:bCs/>
        </w:rPr>
        <w:t xml:space="preserve"> pravom</w:t>
      </w:r>
      <w:r w:rsidR="003A2206" w:rsidRPr="007466EF">
        <w:rPr>
          <w:bCs/>
        </w:rPr>
        <w:t xml:space="preserve"> sukladno Zakonu o prodaji stanova na kojima postoji stanarsko pravo. </w:t>
      </w:r>
      <w:r w:rsidRPr="007466EF">
        <w:rPr>
          <w:bCs/>
        </w:rPr>
        <w:t>O</w:t>
      </w:r>
      <w:r w:rsidR="003A2206" w:rsidRPr="007466EF">
        <w:rPr>
          <w:bCs/>
        </w:rPr>
        <w:t xml:space="preserve">stali </w:t>
      </w:r>
      <w:r w:rsidRPr="007466EF">
        <w:rPr>
          <w:bCs/>
        </w:rPr>
        <w:t xml:space="preserve">troškovi u najvećem dijelu odnose </w:t>
      </w:r>
      <w:r w:rsidR="00B725E7" w:rsidRPr="007466EF">
        <w:rPr>
          <w:bCs/>
        </w:rPr>
        <w:t xml:space="preserve">se </w:t>
      </w:r>
      <w:r w:rsidRPr="007466EF">
        <w:rPr>
          <w:bCs/>
        </w:rPr>
        <w:t>na uplate jamčevina za preuzimanje nekretnina u stečajnim postupcima te u manjem dijelu za izmirenje troškova u sudskim postupcima.</w:t>
      </w:r>
    </w:p>
    <w:p w14:paraId="131107DD" w14:textId="36334F21" w:rsidR="00864F97" w:rsidRPr="007466EF" w:rsidRDefault="00864F97" w:rsidP="00864F97">
      <w:pPr>
        <w:jc w:val="both"/>
        <w:rPr>
          <w:color w:val="000000"/>
        </w:rPr>
      </w:pPr>
    </w:p>
    <w:p w14:paraId="0F675918" w14:textId="5CF7C64B" w:rsidR="00864F97" w:rsidRPr="007466EF" w:rsidRDefault="00B725E7" w:rsidP="00864F97">
      <w:pPr>
        <w:jc w:val="center"/>
        <w:rPr>
          <w:sz w:val="28"/>
          <w:szCs w:val="28"/>
        </w:rPr>
      </w:pPr>
      <w:r w:rsidRPr="007466EF">
        <w:rPr>
          <w:sz w:val="28"/>
          <w:szCs w:val="28"/>
        </w:rPr>
        <w:t>Bilješka 25</w:t>
      </w:r>
      <w:r w:rsidR="00864F97" w:rsidRPr="007466EF">
        <w:rPr>
          <w:sz w:val="28"/>
          <w:szCs w:val="28"/>
        </w:rPr>
        <w:t>.</w:t>
      </w:r>
    </w:p>
    <w:p w14:paraId="0AD19CDA" w14:textId="77777777" w:rsidR="00864F97" w:rsidRPr="007466EF" w:rsidRDefault="00864F97" w:rsidP="00864F97">
      <w:pPr>
        <w:jc w:val="center"/>
        <w:rPr>
          <w:sz w:val="28"/>
          <w:szCs w:val="28"/>
        </w:rPr>
      </w:pPr>
      <w:r w:rsidRPr="007466EF">
        <w:rPr>
          <w:sz w:val="28"/>
          <w:szCs w:val="28"/>
        </w:rPr>
        <w:t>Šifra 3411 Kamate za izdane trezorske zapise</w:t>
      </w:r>
    </w:p>
    <w:p w14:paraId="267B1457" w14:textId="10A0D396" w:rsidR="00864F97" w:rsidRPr="007466EF" w:rsidRDefault="00864F97" w:rsidP="00864F97">
      <w:pPr>
        <w:jc w:val="both"/>
      </w:pPr>
      <w:r w:rsidRPr="007466EF">
        <w:t>Rashodi za kamate za izdane trezorske zapise u 202</w:t>
      </w:r>
      <w:r w:rsidR="00E41B36" w:rsidRPr="007466EF">
        <w:t>4</w:t>
      </w:r>
      <w:r w:rsidR="008628B3" w:rsidRPr="007466EF">
        <w:t xml:space="preserve">. </w:t>
      </w:r>
      <w:r w:rsidR="00B725E7" w:rsidRPr="007466EF">
        <w:t>ostvareni</w:t>
      </w:r>
      <w:r w:rsidRPr="007466EF">
        <w:t xml:space="preserve"> su u iznosu</w:t>
      </w:r>
      <w:r w:rsidR="00E41B36" w:rsidRPr="007466EF">
        <w:t xml:space="preserve"> 96.041.189,43</w:t>
      </w:r>
      <w:r w:rsidRPr="007466EF">
        <w:t xml:space="preserve"> eura </w:t>
      </w:r>
      <w:r w:rsidR="008628B3" w:rsidRPr="007466EF">
        <w:t xml:space="preserve">dok su u 2023. </w:t>
      </w:r>
      <w:r w:rsidR="00B725E7" w:rsidRPr="007466EF">
        <w:t>ostvareni</w:t>
      </w:r>
      <w:r w:rsidR="008628B3" w:rsidRPr="007466EF">
        <w:t xml:space="preserve"> u iznosu od 5.208.210,88 eura što predstavlja</w:t>
      </w:r>
      <w:r w:rsidRPr="007466EF">
        <w:t xml:space="preserve"> povećanje od 1</w:t>
      </w:r>
      <w:r w:rsidR="00E41B36" w:rsidRPr="007466EF">
        <w:t>.744</w:t>
      </w:r>
      <w:r w:rsidR="008628B3" w:rsidRPr="007466EF">
        <w:t xml:space="preserve"> % u promatranom razdoblju.</w:t>
      </w:r>
    </w:p>
    <w:p w14:paraId="09B2E072" w14:textId="4D527CCB" w:rsidR="008628B3" w:rsidRPr="007466EF" w:rsidRDefault="008628B3" w:rsidP="00E41B36">
      <w:pPr>
        <w:jc w:val="both"/>
      </w:pPr>
    </w:p>
    <w:p w14:paraId="463A8C33" w14:textId="30CF8CC0" w:rsidR="008628B3" w:rsidRPr="007466EF" w:rsidRDefault="008628B3" w:rsidP="0089501B">
      <w:pPr>
        <w:shd w:val="clear" w:color="auto" w:fill="FFFFFF"/>
        <w:jc w:val="both"/>
      </w:pPr>
      <w:r w:rsidRPr="007466EF">
        <w:t xml:space="preserve">Rast rashoda za kamate za izdane trezorske zapise u zemlji u 2024. u odnosu na isto </w:t>
      </w:r>
      <w:r w:rsidR="0089501B" w:rsidRPr="007466EF">
        <w:t>razdoblje 2023. dogodio se zato što je iznos zaduživanja putem trezorskih zapisa bio značajno veći u odnosu na ranija razdoblja.</w:t>
      </w:r>
    </w:p>
    <w:p w14:paraId="43096684" w14:textId="77777777" w:rsidR="00864F97" w:rsidRPr="007466EF" w:rsidRDefault="00864F97" w:rsidP="007466EF">
      <w:pPr>
        <w:jc w:val="both"/>
        <w:rPr>
          <w:color w:val="000000"/>
        </w:rPr>
      </w:pPr>
    </w:p>
    <w:p w14:paraId="5AAEB3FD" w14:textId="6EDD5AAD" w:rsidR="00864F97" w:rsidRPr="007466EF" w:rsidRDefault="0033182F" w:rsidP="00864F97">
      <w:pPr>
        <w:pStyle w:val="Naslov"/>
        <w:keepNext/>
        <w:rPr>
          <w:b w:val="0"/>
          <w:bCs w:val="0"/>
        </w:rPr>
      </w:pPr>
      <w:r w:rsidRPr="007466EF">
        <w:rPr>
          <w:b w:val="0"/>
          <w:bCs w:val="0"/>
        </w:rPr>
        <w:t>Bilješka 26</w:t>
      </w:r>
      <w:r w:rsidR="00864F97" w:rsidRPr="007466EF">
        <w:rPr>
          <w:b w:val="0"/>
          <w:bCs w:val="0"/>
        </w:rPr>
        <w:t>.</w:t>
      </w:r>
    </w:p>
    <w:p w14:paraId="7B3BC92C" w14:textId="77777777" w:rsidR="00864F97" w:rsidRPr="007466EF" w:rsidRDefault="00864F97" w:rsidP="00864F97">
      <w:pPr>
        <w:pStyle w:val="Naslov"/>
        <w:keepNext/>
        <w:rPr>
          <w:b w:val="0"/>
          <w:bCs w:val="0"/>
        </w:rPr>
      </w:pPr>
      <w:r w:rsidRPr="007466EF">
        <w:rPr>
          <w:b w:val="0"/>
          <w:bCs w:val="0"/>
        </w:rPr>
        <w:t>Šifra 3421 Kamate za primljene kredite i zajmove od međunarodnih organizacija, institucija i tijela EU te inozemnih vlada</w:t>
      </w:r>
    </w:p>
    <w:p w14:paraId="12C86A89" w14:textId="50F7D4D7" w:rsidR="00C3176A" w:rsidRPr="007466EF" w:rsidRDefault="00C3176A" w:rsidP="00C3176A">
      <w:pPr>
        <w:pStyle w:val="Naslov"/>
        <w:keepNext/>
        <w:jc w:val="both"/>
        <w:rPr>
          <w:b w:val="0"/>
          <w:bCs w:val="0"/>
          <w:sz w:val="24"/>
        </w:rPr>
      </w:pPr>
      <w:r w:rsidRPr="007466EF">
        <w:rPr>
          <w:b w:val="0"/>
          <w:bCs w:val="0"/>
          <w:sz w:val="24"/>
        </w:rPr>
        <w:t xml:space="preserve">Rashodi za kamate za primljene kredite i zajmove od međunarodnih organizacija, institucija i tijela EU te inozemnih vlada </w:t>
      </w:r>
      <w:r w:rsidR="008628B3" w:rsidRPr="007466EF">
        <w:rPr>
          <w:b w:val="0"/>
          <w:bCs w:val="0"/>
          <w:sz w:val="24"/>
        </w:rPr>
        <w:t xml:space="preserve">u 2024. izvršeni su </w:t>
      </w:r>
      <w:r w:rsidRPr="007466EF">
        <w:rPr>
          <w:b w:val="0"/>
          <w:bCs w:val="0"/>
          <w:sz w:val="24"/>
        </w:rPr>
        <w:t xml:space="preserve">u iznosu od </w:t>
      </w:r>
      <w:r w:rsidR="00E41B36" w:rsidRPr="007466EF">
        <w:rPr>
          <w:b w:val="0"/>
          <w:bCs w:val="0"/>
          <w:sz w:val="24"/>
        </w:rPr>
        <w:t>85.490.644,58</w:t>
      </w:r>
      <w:r w:rsidR="008628B3" w:rsidRPr="007466EF">
        <w:rPr>
          <w:b w:val="0"/>
          <w:bCs w:val="0"/>
          <w:sz w:val="24"/>
        </w:rPr>
        <w:t xml:space="preserve"> eura dok su u 2023. izvršeni u iznosu od 73.356.938,93 eura što predstavlja povećanje od </w:t>
      </w:r>
      <w:r w:rsidR="00E41B36" w:rsidRPr="007466EF">
        <w:rPr>
          <w:b w:val="0"/>
          <w:bCs w:val="0"/>
          <w:sz w:val="24"/>
        </w:rPr>
        <w:t>16,5</w:t>
      </w:r>
      <w:r w:rsidR="008628B3" w:rsidRPr="007466EF">
        <w:rPr>
          <w:b w:val="0"/>
          <w:bCs w:val="0"/>
          <w:sz w:val="24"/>
        </w:rPr>
        <w:t>% u promatranom razdoblju.</w:t>
      </w:r>
    </w:p>
    <w:p w14:paraId="2DABBD66" w14:textId="77777777" w:rsidR="00C3176A" w:rsidRPr="007466EF" w:rsidRDefault="00C3176A" w:rsidP="00C3176A">
      <w:pPr>
        <w:pStyle w:val="Naslov"/>
        <w:keepNext/>
        <w:jc w:val="both"/>
        <w:rPr>
          <w:b w:val="0"/>
          <w:bCs w:val="0"/>
          <w:sz w:val="24"/>
        </w:rPr>
      </w:pPr>
    </w:p>
    <w:p w14:paraId="5BE6C63C" w14:textId="5D83DB42" w:rsidR="00C3176A" w:rsidRPr="007466EF" w:rsidRDefault="00C3176A" w:rsidP="00C57E02">
      <w:pPr>
        <w:pStyle w:val="Naslov"/>
        <w:keepNext/>
        <w:jc w:val="both"/>
        <w:rPr>
          <w:b w:val="0"/>
          <w:bCs w:val="0"/>
          <w:sz w:val="24"/>
        </w:rPr>
      </w:pPr>
      <w:r w:rsidRPr="007466EF">
        <w:rPr>
          <w:b w:val="0"/>
          <w:bCs w:val="0"/>
          <w:sz w:val="24"/>
        </w:rPr>
        <w:t xml:space="preserve">U 2024. iznos od </w:t>
      </w:r>
      <w:r w:rsidR="005A0E37" w:rsidRPr="007466EF">
        <w:rPr>
          <w:b w:val="0"/>
          <w:bCs w:val="0"/>
          <w:sz w:val="24"/>
        </w:rPr>
        <w:t>85.487.660,24</w:t>
      </w:r>
      <w:r w:rsidR="00862E19" w:rsidRPr="007466EF">
        <w:rPr>
          <w:b w:val="0"/>
          <w:bCs w:val="0"/>
          <w:sz w:val="24"/>
        </w:rPr>
        <w:t xml:space="preserve"> </w:t>
      </w:r>
      <w:r w:rsidRPr="007466EF">
        <w:rPr>
          <w:b w:val="0"/>
          <w:bCs w:val="0"/>
          <w:sz w:val="24"/>
        </w:rPr>
        <w:t>eura odnosi se na rashode za kamate po primljenim kreditima i zajmovima od Međunarodne banke za obnovu i razvoj (IBRD), Europske investicijske banke (EIB) i Razvojne banke Vijeća Europe (CEB) i Europske komisije.</w:t>
      </w:r>
    </w:p>
    <w:p w14:paraId="65CCD496" w14:textId="77777777" w:rsidR="00864F97" w:rsidRPr="007466EF" w:rsidRDefault="00864F97" w:rsidP="00864F97">
      <w:pPr>
        <w:shd w:val="clear" w:color="auto" w:fill="FFFFFF"/>
        <w:jc w:val="both"/>
        <w:rPr>
          <w:bCs/>
        </w:rPr>
      </w:pPr>
    </w:p>
    <w:p w14:paraId="7E047BEB" w14:textId="78D38E9F" w:rsidR="00864F97" w:rsidRPr="007466EF" w:rsidRDefault="0033182F" w:rsidP="00864F97">
      <w:pPr>
        <w:pStyle w:val="Naslov"/>
        <w:keepNext/>
        <w:rPr>
          <w:b w:val="0"/>
          <w:bCs w:val="0"/>
        </w:rPr>
      </w:pPr>
      <w:r w:rsidRPr="007466EF">
        <w:rPr>
          <w:b w:val="0"/>
          <w:bCs w:val="0"/>
        </w:rPr>
        <w:lastRenderedPageBreak/>
        <w:t>Bilješka 27</w:t>
      </w:r>
      <w:r w:rsidR="00864F97" w:rsidRPr="007466EF">
        <w:rPr>
          <w:b w:val="0"/>
          <w:bCs w:val="0"/>
        </w:rPr>
        <w:t>.</w:t>
      </w:r>
    </w:p>
    <w:p w14:paraId="0D12E920" w14:textId="77777777" w:rsidR="00864F97" w:rsidRPr="007466EF" w:rsidRDefault="00864F97" w:rsidP="00864F97">
      <w:pPr>
        <w:pStyle w:val="Naslov"/>
        <w:keepNext/>
        <w:rPr>
          <w:b w:val="0"/>
          <w:bCs w:val="0"/>
        </w:rPr>
      </w:pPr>
      <w:r w:rsidRPr="007466EF">
        <w:rPr>
          <w:b w:val="0"/>
          <w:bCs w:val="0"/>
        </w:rPr>
        <w:t>Šifra 3422 Kamate za primljene kredite i zajmove od kreditnih i ostalih financijskih institucija u javnom sektoru</w:t>
      </w:r>
    </w:p>
    <w:p w14:paraId="298622C1" w14:textId="1CA6F238" w:rsidR="00864F97" w:rsidRPr="007466EF" w:rsidRDefault="00864F97" w:rsidP="00864F97">
      <w:pPr>
        <w:pStyle w:val="Naslov"/>
        <w:keepNext/>
        <w:jc w:val="both"/>
        <w:rPr>
          <w:b w:val="0"/>
          <w:sz w:val="24"/>
        </w:rPr>
      </w:pPr>
      <w:r w:rsidRPr="007466EF">
        <w:rPr>
          <w:b w:val="0"/>
          <w:sz w:val="24"/>
        </w:rPr>
        <w:t>Rashodi za kamate za primljene kredite i zajmove od kreditnih i ostalih financijskih institucija u javnom sektoru u 202</w:t>
      </w:r>
      <w:r w:rsidR="00BC4F68" w:rsidRPr="007466EF">
        <w:rPr>
          <w:b w:val="0"/>
          <w:sz w:val="24"/>
        </w:rPr>
        <w:t>4</w:t>
      </w:r>
      <w:r w:rsidR="00C57E02" w:rsidRPr="007466EF">
        <w:rPr>
          <w:b w:val="0"/>
          <w:sz w:val="24"/>
        </w:rPr>
        <w:t xml:space="preserve">. </w:t>
      </w:r>
      <w:r w:rsidRPr="007466EF">
        <w:rPr>
          <w:b w:val="0"/>
          <w:sz w:val="24"/>
        </w:rPr>
        <w:t xml:space="preserve">ostvareni su u iznosu od </w:t>
      </w:r>
      <w:r w:rsidR="00BC4F68" w:rsidRPr="007466EF">
        <w:rPr>
          <w:b w:val="0"/>
          <w:sz w:val="24"/>
        </w:rPr>
        <w:t>3.892.247,16</w:t>
      </w:r>
      <w:r w:rsidRPr="007466EF">
        <w:rPr>
          <w:b w:val="0"/>
          <w:sz w:val="24"/>
        </w:rPr>
        <w:t xml:space="preserve"> eura te bilježe </w:t>
      </w:r>
      <w:r w:rsidR="00BC4F68" w:rsidRPr="007466EF">
        <w:rPr>
          <w:b w:val="0"/>
          <w:sz w:val="24"/>
        </w:rPr>
        <w:t xml:space="preserve">smanjenje </w:t>
      </w:r>
      <w:r w:rsidRPr="007466EF">
        <w:rPr>
          <w:b w:val="0"/>
          <w:sz w:val="24"/>
        </w:rPr>
        <w:t>u odnosu na ostvarenje u istom razdoblju 202</w:t>
      </w:r>
      <w:r w:rsidR="00BC4F68" w:rsidRPr="007466EF">
        <w:rPr>
          <w:b w:val="0"/>
          <w:sz w:val="24"/>
        </w:rPr>
        <w:t>3</w:t>
      </w:r>
      <w:r w:rsidR="00C57E02" w:rsidRPr="007466EF">
        <w:rPr>
          <w:b w:val="0"/>
          <w:sz w:val="24"/>
        </w:rPr>
        <w:t>.</w:t>
      </w:r>
      <w:r w:rsidRPr="007466EF">
        <w:rPr>
          <w:b w:val="0"/>
          <w:sz w:val="24"/>
        </w:rPr>
        <w:t xml:space="preserve"> za </w:t>
      </w:r>
      <w:r w:rsidR="00BC4F68" w:rsidRPr="007466EF">
        <w:rPr>
          <w:b w:val="0"/>
          <w:sz w:val="24"/>
        </w:rPr>
        <w:t>19,3</w:t>
      </w:r>
      <w:r w:rsidRPr="007466EF">
        <w:rPr>
          <w:b w:val="0"/>
          <w:sz w:val="24"/>
        </w:rPr>
        <w:t xml:space="preserve">%. </w:t>
      </w:r>
    </w:p>
    <w:p w14:paraId="1AB328C7" w14:textId="4BA71D8B" w:rsidR="00C57E02" w:rsidRPr="007466EF" w:rsidRDefault="00C57E02" w:rsidP="00864F97">
      <w:pPr>
        <w:pStyle w:val="Naslov"/>
        <w:keepNext/>
        <w:jc w:val="both"/>
        <w:rPr>
          <w:b w:val="0"/>
          <w:sz w:val="24"/>
        </w:rPr>
      </w:pPr>
    </w:p>
    <w:p w14:paraId="675E0306" w14:textId="6525371C" w:rsidR="00C57E02" w:rsidRPr="007466EF" w:rsidRDefault="00C57E02" w:rsidP="00C57E02">
      <w:pPr>
        <w:pStyle w:val="Naslov"/>
        <w:jc w:val="both"/>
        <w:rPr>
          <w:b w:val="0"/>
          <w:bCs w:val="0"/>
          <w:sz w:val="24"/>
        </w:rPr>
      </w:pPr>
      <w:r w:rsidRPr="007466EF">
        <w:rPr>
          <w:b w:val="0"/>
          <w:bCs w:val="0"/>
          <w:sz w:val="24"/>
        </w:rPr>
        <w:t>Navedeni rashodi u 2024. odnose se na rashode za kamate po primljenim dugoročnim kreditima kod HBOR-a, Croatia banke i HPB.</w:t>
      </w:r>
    </w:p>
    <w:p w14:paraId="19F00D73" w14:textId="77777777" w:rsidR="00864F97" w:rsidRPr="007466EF" w:rsidRDefault="00864F97" w:rsidP="007466EF">
      <w:pPr>
        <w:jc w:val="both"/>
        <w:rPr>
          <w:color w:val="000000"/>
        </w:rPr>
      </w:pPr>
    </w:p>
    <w:p w14:paraId="2940A542" w14:textId="3D43789E" w:rsidR="00864F97" w:rsidRPr="007466EF" w:rsidRDefault="008F6FCF" w:rsidP="00864F97">
      <w:pPr>
        <w:pStyle w:val="Naslov"/>
        <w:keepNext/>
        <w:rPr>
          <w:b w:val="0"/>
          <w:bCs w:val="0"/>
        </w:rPr>
      </w:pPr>
      <w:r w:rsidRPr="007466EF">
        <w:rPr>
          <w:b w:val="0"/>
          <w:bCs w:val="0"/>
        </w:rPr>
        <w:t>Bilješka 28</w:t>
      </w:r>
      <w:r w:rsidR="00864F97" w:rsidRPr="007466EF">
        <w:rPr>
          <w:b w:val="0"/>
          <w:bCs w:val="0"/>
        </w:rPr>
        <w:t>.</w:t>
      </w:r>
    </w:p>
    <w:p w14:paraId="30109C76" w14:textId="77777777" w:rsidR="00864F97" w:rsidRPr="007466EF" w:rsidRDefault="00864F97" w:rsidP="00864F97">
      <w:pPr>
        <w:pStyle w:val="Naslov"/>
        <w:keepNext/>
        <w:rPr>
          <w:b w:val="0"/>
          <w:bCs w:val="0"/>
        </w:rPr>
      </w:pPr>
      <w:r w:rsidRPr="007466EF">
        <w:rPr>
          <w:b w:val="0"/>
          <w:bCs w:val="0"/>
        </w:rPr>
        <w:t>Šifra 3423 Kamate na primljene kredite i zajmove od kreditnih i ostalih financijskih institucija izvan javnog sektora</w:t>
      </w:r>
    </w:p>
    <w:p w14:paraId="045CBE18" w14:textId="52E445DE" w:rsidR="001E3ED7" w:rsidRPr="007466EF" w:rsidRDefault="00864F97" w:rsidP="00864F97">
      <w:pPr>
        <w:shd w:val="clear" w:color="auto" w:fill="FFFFFF"/>
        <w:jc w:val="both"/>
        <w:rPr>
          <w:bCs/>
        </w:rPr>
      </w:pPr>
      <w:r w:rsidRPr="007466EF">
        <w:rPr>
          <w:bCs/>
        </w:rPr>
        <w:t>Rashodi za kamate na primljene kredite i zajmove od kreditnih i ostalih financijskih institucija izvan javnog sektora u 202</w:t>
      </w:r>
      <w:r w:rsidR="008C1ACE" w:rsidRPr="007466EF">
        <w:rPr>
          <w:bCs/>
        </w:rPr>
        <w:t>4</w:t>
      </w:r>
      <w:r w:rsidR="001E3ED7" w:rsidRPr="007466EF">
        <w:rPr>
          <w:bCs/>
        </w:rPr>
        <w:t xml:space="preserve">. izvršeni </w:t>
      </w:r>
      <w:r w:rsidRPr="007466EF">
        <w:rPr>
          <w:bCs/>
        </w:rPr>
        <w:t xml:space="preserve">su u iznosu od </w:t>
      </w:r>
      <w:r w:rsidR="008C1ACE" w:rsidRPr="007466EF">
        <w:rPr>
          <w:bCs/>
        </w:rPr>
        <w:t>56.287.167,61</w:t>
      </w:r>
      <w:r w:rsidRPr="007466EF">
        <w:rPr>
          <w:bCs/>
        </w:rPr>
        <w:t xml:space="preserve"> eura </w:t>
      </w:r>
      <w:r w:rsidR="001E3ED7" w:rsidRPr="007466EF">
        <w:rPr>
          <w:bCs/>
        </w:rPr>
        <w:t>što predstavlja smanjenje od</w:t>
      </w:r>
      <w:r w:rsidRPr="007466EF">
        <w:rPr>
          <w:bCs/>
        </w:rPr>
        <w:t xml:space="preserve"> </w:t>
      </w:r>
      <w:r w:rsidR="008C1ACE" w:rsidRPr="007466EF">
        <w:rPr>
          <w:bCs/>
        </w:rPr>
        <w:t>13,1</w:t>
      </w:r>
      <w:r w:rsidR="001E3ED7" w:rsidRPr="007466EF">
        <w:rPr>
          <w:bCs/>
        </w:rPr>
        <w:t>% u</w:t>
      </w:r>
      <w:r w:rsidR="001E3ED7" w:rsidRPr="007466EF">
        <w:t xml:space="preserve"> odnosu na isto razdoblje prethodne godine kada su ostvareni u iznosu od 64.770.437,02 eura.</w:t>
      </w:r>
    </w:p>
    <w:p w14:paraId="5D89C4C2" w14:textId="266CF2D9" w:rsidR="00864F97" w:rsidRPr="007466EF" w:rsidRDefault="00864F97" w:rsidP="00864F97">
      <w:pPr>
        <w:shd w:val="clear" w:color="auto" w:fill="FFFFFF"/>
        <w:jc w:val="both"/>
        <w:rPr>
          <w:bCs/>
        </w:rPr>
      </w:pPr>
    </w:p>
    <w:p w14:paraId="094E2C02" w14:textId="6C43D56C" w:rsidR="00864F97" w:rsidRPr="007466EF" w:rsidRDefault="00864F97" w:rsidP="00864F97">
      <w:pPr>
        <w:shd w:val="clear" w:color="auto" w:fill="FFFFFF"/>
        <w:jc w:val="both"/>
      </w:pPr>
      <w:r w:rsidRPr="007466EF">
        <w:rPr>
          <w:bCs/>
        </w:rPr>
        <w:t>Najz</w:t>
      </w:r>
      <w:r w:rsidR="001E3ED7" w:rsidRPr="007466EF">
        <w:rPr>
          <w:bCs/>
        </w:rPr>
        <w:t>načajniji rashodi u 2024.</w:t>
      </w:r>
      <w:r w:rsidRPr="007466EF">
        <w:rPr>
          <w:bCs/>
        </w:rPr>
        <w:t xml:space="preserve"> odnose se na kamate po zajmovima sveučilišta (u </w:t>
      </w:r>
      <w:proofErr w:type="spellStart"/>
      <w:r w:rsidRPr="007466EF">
        <w:rPr>
          <w:bCs/>
        </w:rPr>
        <w:t>Addiko</w:t>
      </w:r>
      <w:proofErr w:type="spellEnd"/>
      <w:r w:rsidRPr="007466EF">
        <w:rPr>
          <w:bCs/>
        </w:rPr>
        <w:t xml:space="preserve"> </w:t>
      </w:r>
      <w:proofErr w:type="spellStart"/>
      <w:r w:rsidRPr="007466EF">
        <w:rPr>
          <w:bCs/>
        </w:rPr>
        <w:t>bank</w:t>
      </w:r>
      <w:proofErr w:type="spellEnd"/>
      <w:r w:rsidRPr="007466EF">
        <w:rPr>
          <w:bCs/>
        </w:rPr>
        <w:t xml:space="preserve"> d.d., Zagrebačkoj banci d.d. i Privrednoj banci Zagreb d.d.), zajmovima Privredne banke Zagreb d.d., Zagrebačke banke d.d., </w:t>
      </w:r>
      <w:r w:rsidRPr="007466EF">
        <w:t xml:space="preserve">RAIFFEISEN Bank i </w:t>
      </w:r>
      <w:proofErr w:type="spellStart"/>
      <w:r w:rsidRPr="007466EF">
        <w:t>Erste&amp;Steiermärkische</w:t>
      </w:r>
      <w:proofErr w:type="spellEnd"/>
      <w:r w:rsidRPr="007466EF">
        <w:t xml:space="preserve"> Bank d.d.</w:t>
      </w:r>
    </w:p>
    <w:p w14:paraId="015F72C5" w14:textId="77777777" w:rsidR="001E3ED7" w:rsidRPr="007466EF" w:rsidRDefault="001E3ED7" w:rsidP="007466EF">
      <w:pPr>
        <w:jc w:val="both"/>
        <w:rPr>
          <w:color w:val="000000"/>
        </w:rPr>
      </w:pPr>
    </w:p>
    <w:p w14:paraId="7F3704CF" w14:textId="056B9133" w:rsidR="00864F97" w:rsidRPr="007466EF" w:rsidRDefault="008F6FCF" w:rsidP="00864F97">
      <w:pPr>
        <w:pStyle w:val="Naslov"/>
        <w:keepNext/>
        <w:rPr>
          <w:b w:val="0"/>
          <w:bCs w:val="0"/>
        </w:rPr>
      </w:pPr>
      <w:r w:rsidRPr="007466EF">
        <w:rPr>
          <w:b w:val="0"/>
          <w:bCs w:val="0"/>
        </w:rPr>
        <w:t>Bilješka 29</w:t>
      </w:r>
      <w:r w:rsidR="00864F97" w:rsidRPr="007466EF">
        <w:rPr>
          <w:b w:val="0"/>
          <w:bCs w:val="0"/>
        </w:rPr>
        <w:t>.</w:t>
      </w:r>
    </w:p>
    <w:p w14:paraId="00CA217A" w14:textId="5EC9628A" w:rsidR="00864F97" w:rsidRPr="007466EF" w:rsidRDefault="00864F97" w:rsidP="001E3ED7">
      <w:pPr>
        <w:pStyle w:val="Naslov"/>
        <w:keepNext/>
        <w:rPr>
          <w:b w:val="0"/>
          <w:bCs w:val="0"/>
        </w:rPr>
      </w:pPr>
      <w:r w:rsidRPr="007466EF">
        <w:rPr>
          <w:b w:val="0"/>
          <w:bCs w:val="0"/>
        </w:rPr>
        <w:t>Šifra 3432 Negativne tečajne razlike i razlike</w:t>
      </w:r>
      <w:r w:rsidR="001E3ED7" w:rsidRPr="007466EF">
        <w:rPr>
          <w:b w:val="0"/>
          <w:bCs w:val="0"/>
        </w:rPr>
        <w:t xml:space="preserve"> zbog primjene valutne klauzule</w:t>
      </w:r>
    </w:p>
    <w:p w14:paraId="6572F832" w14:textId="7F9196DC" w:rsidR="00864F97" w:rsidRPr="007466EF" w:rsidRDefault="00864F97" w:rsidP="00864F97">
      <w:pPr>
        <w:pStyle w:val="Naslov"/>
        <w:keepNext/>
        <w:jc w:val="both"/>
      </w:pPr>
      <w:r w:rsidRPr="007466EF">
        <w:rPr>
          <w:b w:val="0"/>
          <w:bCs w:val="0"/>
          <w:sz w:val="24"/>
        </w:rPr>
        <w:t>Rashodi za negativne tečajne razlike i razlike zbog primjene valu</w:t>
      </w:r>
      <w:r w:rsidR="001E3ED7" w:rsidRPr="007466EF">
        <w:rPr>
          <w:b w:val="0"/>
          <w:bCs w:val="0"/>
          <w:sz w:val="24"/>
        </w:rPr>
        <w:t>tne klauzule ostvareni su u 2024</w:t>
      </w:r>
      <w:r w:rsidRPr="007466EF">
        <w:rPr>
          <w:b w:val="0"/>
          <w:bCs w:val="0"/>
          <w:sz w:val="24"/>
        </w:rPr>
        <w:t xml:space="preserve">. u iznosu od </w:t>
      </w:r>
      <w:r w:rsidR="001E3ED7" w:rsidRPr="007466EF">
        <w:rPr>
          <w:b w:val="0"/>
          <w:bCs w:val="0"/>
          <w:sz w:val="24"/>
        </w:rPr>
        <w:t>629.702,47 eura, odnosno za 64,5% su veći</w:t>
      </w:r>
      <w:r w:rsidRPr="007466EF">
        <w:rPr>
          <w:b w:val="0"/>
          <w:bCs w:val="0"/>
          <w:sz w:val="24"/>
        </w:rPr>
        <w:t xml:space="preserve"> u odnosu na </w:t>
      </w:r>
      <w:r w:rsidR="001E3ED7" w:rsidRPr="007466EF">
        <w:rPr>
          <w:b w:val="0"/>
          <w:bCs w:val="0"/>
          <w:sz w:val="24"/>
        </w:rPr>
        <w:t>382.703,40</w:t>
      </w:r>
      <w:r w:rsidRPr="007466EF">
        <w:rPr>
          <w:b w:val="0"/>
          <w:bCs w:val="0"/>
          <w:sz w:val="24"/>
        </w:rPr>
        <w:t xml:space="preserve"> eu</w:t>
      </w:r>
      <w:r w:rsidR="001E3ED7" w:rsidRPr="007466EF">
        <w:rPr>
          <w:b w:val="0"/>
          <w:bCs w:val="0"/>
          <w:sz w:val="24"/>
        </w:rPr>
        <w:t>ra ostvarenih u 2023</w:t>
      </w:r>
      <w:r w:rsidRPr="007466EF">
        <w:rPr>
          <w:b w:val="0"/>
          <w:bCs w:val="0"/>
          <w:sz w:val="24"/>
        </w:rPr>
        <w:t xml:space="preserve">. </w:t>
      </w:r>
    </w:p>
    <w:p w14:paraId="06A87CD2" w14:textId="77777777" w:rsidR="00864F97" w:rsidRPr="007466EF" w:rsidRDefault="00864F97" w:rsidP="00864F97">
      <w:pPr>
        <w:shd w:val="clear" w:color="auto" w:fill="FFFFFF"/>
        <w:rPr>
          <w:rFonts w:ascii="Calibri" w:hAnsi="Calibri" w:cs="Calibri"/>
          <w:color w:val="212121"/>
        </w:rPr>
      </w:pPr>
    </w:p>
    <w:p w14:paraId="250C278B" w14:textId="63C0D3CE" w:rsidR="008F6FCF" w:rsidRPr="007466EF" w:rsidRDefault="008F6FCF" w:rsidP="008F6FCF">
      <w:pPr>
        <w:jc w:val="both"/>
      </w:pPr>
      <w:r w:rsidRPr="007466EF">
        <w:t>Najznačajniji rashodi za negativne tečajne razlike ostvareni su po plaćenim računima:</w:t>
      </w:r>
    </w:p>
    <w:p w14:paraId="7E437756" w14:textId="6F3FA6D3" w:rsidR="008F6FCF" w:rsidRPr="007466EF" w:rsidRDefault="008F6FCF" w:rsidP="008F6FCF">
      <w:pPr>
        <w:pStyle w:val="Odlomakpopisa"/>
        <w:numPr>
          <w:ilvl w:val="0"/>
          <w:numId w:val="23"/>
        </w:numPr>
        <w:jc w:val="both"/>
      </w:pPr>
      <w:r w:rsidRPr="007466EF">
        <w:t xml:space="preserve">MORH 19.03.2024. plaćanje klasificirano u iznosu od 28.319.129,00 </w:t>
      </w:r>
      <w:r w:rsidR="00C40D2A" w:rsidRPr="007466EF">
        <w:rPr>
          <w:color w:val="000000"/>
        </w:rPr>
        <w:t>USD</w:t>
      </w:r>
      <w:r w:rsidRPr="007466EF">
        <w:t>, tečajna razlika od 78.535,27 eura</w:t>
      </w:r>
    </w:p>
    <w:p w14:paraId="2A0544F0" w14:textId="7684EC54" w:rsidR="008F6FCF" w:rsidRPr="007466EF" w:rsidRDefault="008F6FCF" w:rsidP="008F6FCF">
      <w:pPr>
        <w:pStyle w:val="Odlomakpopisa"/>
        <w:numPr>
          <w:ilvl w:val="0"/>
          <w:numId w:val="23"/>
        </w:numPr>
        <w:jc w:val="both"/>
      </w:pPr>
      <w:r w:rsidRPr="007466EF">
        <w:t xml:space="preserve">MORH 13.12.2024. plaćanje klasificirano u iznosu od 12.099.998,00 </w:t>
      </w:r>
      <w:r w:rsidR="00C40D2A" w:rsidRPr="007466EF">
        <w:rPr>
          <w:color w:val="000000"/>
        </w:rPr>
        <w:t>USD</w:t>
      </w:r>
      <w:r w:rsidRPr="007466EF">
        <w:t>, tečajna razlika od 39.442,67 eura</w:t>
      </w:r>
    </w:p>
    <w:p w14:paraId="2BF2554E" w14:textId="59678710" w:rsidR="008F6FCF" w:rsidRPr="007466EF" w:rsidRDefault="008F6FCF" w:rsidP="008F6FCF">
      <w:pPr>
        <w:pStyle w:val="Odlomakpopisa"/>
        <w:numPr>
          <w:ilvl w:val="0"/>
          <w:numId w:val="23"/>
        </w:numPr>
        <w:jc w:val="both"/>
      </w:pPr>
      <w:r w:rsidRPr="007466EF">
        <w:t xml:space="preserve">MORH 13.09.2024. plaćanje klasificirano u iznosu od 15.088.215,00 </w:t>
      </w:r>
      <w:r w:rsidR="00C40D2A" w:rsidRPr="007466EF">
        <w:rPr>
          <w:color w:val="000000"/>
        </w:rPr>
        <w:t>USD</w:t>
      </w:r>
      <w:r w:rsidRPr="007466EF">
        <w:t>, tečajna razlika od 33.488,11 eura.</w:t>
      </w:r>
    </w:p>
    <w:p w14:paraId="3F752201" w14:textId="1C6CFA3C" w:rsidR="008F6FCF" w:rsidRPr="007466EF" w:rsidRDefault="008F6FCF" w:rsidP="008F6FCF">
      <w:pPr>
        <w:pStyle w:val="Odlomakpopisa"/>
        <w:numPr>
          <w:ilvl w:val="0"/>
          <w:numId w:val="23"/>
        </w:numPr>
        <w:jc w:val="both"/>
      </w:pPr>
      <w:r w:rsidRPr="007466EF">
        <w:t xml:space="preserve">Ministarstvo financija, glava 06, 27.12.2024. plaćanje dionica u iznosu od 1.407.000,00 </w:t>
      </w:r>
      <w:r w:rsidR="00C40D2A" w:rsidRPr="007466EF">
        <w:rPr>
          <w:color w:val="000000"/>
        </w:rPr>
        <w:t>USD</w:t>
      </w:r>
      <w:r w:rsidRPr="007466EF">
        <w:t>, tečajna razlika u iznosu od 13.280,06 eura</w:t>
      </w:r>
    </w:p>
    <w:p w14:paraId="60AC15B7" w14:textId="5C246A92" w:rsidR="008F6FCF" w:rsidRPr="007466EF" w:rsidRDefault="008F6FCF" w:rsidP="008F6FCF">
      <w:pPr>
        <w:pStyle w:val="Odlomakpopisa"/>
        <w:numPr>
          <w:ilvl w:val="0"/>
          <w:numId w:val="23"/>
        </w:numPr>
        <w:jc w:val="both"/>
      </w:pPr>
      <w:r w:rsidRPr="007466EF">
        <w:t xml:space="preserve">Lučka uprava Rijeka 09.02.2024. plaćanje anuiteta kredita u iznosu od 1.025.501,81 </w:t>
      </w:r>
      <w:r w:rsidR="00C40D2A" w:rsidRPr="007466EF">
        <w:rPr>
          <w:color w:val="000000"/>
        </w:rPr>
        <w:t>USD</w:t>
      </w:r>
      <w:r w:rsidRPr="007466EF">
        <w:t>, tečajna razlika u iznosu od 7.734,24 eura.</w:t>
      </w:r>
    </w:p>
    <w:p w14:paraId="2B44C22D" w14:textId="778A79D2" w:rsidR="00864F97" w:rsidRPr="007466EF" w:rsidRDefault="00864F97" w:rsidP="00864F97">
      <w:pPr>
        <w:jc w:val="both"/>
        <w:rPr>
          <w:color w:val="000000"/>
        </w:rPr>
      </w:pPr>
    </w:p>
    <w:p w14:paraId="5393F1A3" w14:textId="0B7277C1" w:rsidR="00864F97" w:rsidRPr="007466EF" w:rsidRDefault="008F6FCF" w:rsidP="00864F97">
      <w:pPr>
        <w:pStyle w:val="Naslov"/>
        <w:keepNext/>
        <w:rPr>
          <w:b w:val="0"/>
          <w:bCs w:val="0"/>
        </w:rPr>
      </w:pPr>
      <w:r w:rsidRPr="007466EF">
        <w:rPr>
          <w:b w:val="0"/>
          <w:bCs w:val="0"/>
        </w:rPr>
        <w:t>Bilješka 30</w:t>
      </w:r>
      <w:r w:rsidR="00864F97" w:rsidRPr="007466EF">
        <w:rPr>
          <w:b w:val="0"/>
          <w:bCs w:val="0"/>
        </w:rPr>
        <w:t>.</w:t>
      </w:r>
    </w:p>
    <w:p w14:paraId="6DA9CA63" w14:textId="77777777" w:rsidR="00864F97" w:rsidRPr="007466EF" w:rsidRDefault="00864F97" w:rsidP="00864F97">
      <w:pPr>
        <w:pStyle w:val="Naslov"/>
        <w:keepNext/>
        <w:rPr>
          <w:b w:val="0"/>
          <w:bCs w:val="0"/>
        </w:rPr>
      </w:pPr>
      <w:r w:rsidRPr="007466EF">
        <w:rPr>
          <w:b w:val="0"/>
          <w:bCs w:val="0"/>
        </w:rPr>
        <w:t>Šifra 3434 Ostali nespomenuti financijski rashodi</w:t>
      </w:r>
    </w:p>
    <w:p w14:paraId="25C61F71" w14:textId="10EBE8C5" w:rsidR="00864F97" w:rsidRPr="007466EF" w:rsidRDefault="00572C02" w:rsidP="00864F97">
      <w:pPr>
        <w:shd w:val="clear" w:color="auto" w:fill="FFFFFF"/>
        <w:jc w:val="both"/>
      </w:pPr>
      <w:r w:rsidRPr="007466EF">
        <w:t xml:space="preserve">U 2024. ostali nespomenuti financijski rashodi ostvareni su u iznosu od 39.428.822,76 eura, što je 9,4% manje u odnosu na </w:t>
      </w:r>
      <w:r w:rsidR="00C40D2A">
        <w:t>ostvarene</w:t>
      </w:r>
      <w:r w:rsidRPr="007466EF">
        <w:t xml:space="preserve"> rashode u istom razdoblju 2023. kada su iznosili 43.530.251,30 eura.</w:t>
      </w:r>
      <w:r w:rsidR="007603B1" w:rsidRPr="007466EF">
        <w:t xml:space="preserve"> </w:t>
      </w:r>
      <w:r w:rsidR="00864F97" w:rsidRPr="007466EF">
        <w:t>Na navedenoj Šifri evidentiraju se svi troškovi vezani za zaduživanja na domaćem i inozemnom tržištu. Između ostalog, tu su evidentirani troškovi voditelja izdanja obveznica na domaćem i inozemnom tržištu, troškovi uključivanja vrijednosnih papira na Zagrebačku burzu, troškovi rejting agencijama, troškovi deponiranja vrijednosnih papira u SKDD i sl. Također, na ovoj Šifri je evidentiran alikvotni dio obveznica izdanih uz diskont.</w:t>
      </w:r>
    </w:p>
    <w:p w14:paraId="6E41C596" w14:textId="5AC9DA65" w:rsidR="00864F97" w:rsidRPr="007466EF" w:rsidRDefault="007B2224" w:rsidP="00864F97">
      <w:pPr>
        <w:pStyle w:val="Naslov"/>
        <w:keepNext/>
        <w:rPr>
          <w:b w:val="0"/>
          <w:bCs w:val="0"/>
        </w:rPr>
      </w:pPr>
      <w:r w:rsidRPr="007466EF">
        <w:rPr>
          <w:b w:val="0"/>
          <w:bCs w:val="0"/>
        </w:rPr>
        <w:lastRenderedPageBreak/>
        <w:t xml:space="preserve">Bilješka </w:t>
      </w:r>
      <w:r w:rsidR="008F6FCF" w:rsidRPr="007466EF">
        <w:rPr>
          <w:b w:val="0"/>
          <w:bCs w:val="0"/>
        </w:rPr>
        <w:t>31</w:t>
      </w:r>
      <w:r w:rsidR="00864F97" w:rsidRPr="007466EF">
        <w:rPr>
          <w:b w:val="0"/>
          <w:bCs w:val="0"/>
        </w:rPr>
        <w:t>.</w:t>
      </w:r>
    </w:p>
    <w:p w14:paraId="6C45F36A" w14:textId="77777777" w:rsidR="00864F97" w:rsidRPr="007466EF" w:rsidRDefault="00864F97" w:rsidP="00864F97">
      <w:pPr>
        <w:keepNext/>
        <w:jc w:val="center"/>
        <w:rPr>
          <w:sz w:val="28"/>
        </w:rPr>
      </w:pPr>
      <w:r w:rsidRPr="007466EF">
        <w:rPr>
          <w:sz w:val="28"/>
        </w:rPr>
        <w:t>Šifra 3512 Subvencije trgovačkim društvima u javnom sektoru, Šifra 3522 Subvencije trgovačkim društvima i zadrugama izvan javnog sektora</w:t>
      </w:r>
    </w:p>
    <w:p w14:paraId="07B56D79" w14:textId="734156D7" w:rsidR="00113812" w:rsidRPr="007466EF" w:rsidRDefault="00113812" w:rsidP="00113812">
      <w:pPr>
        <w:jc w:val="both"/>
        <w:rPr>
          <w:rFonts w:eastAsiaTheme="minorHAnsi"/>
          <w:lang w:eastAsia="en-US"/>
        </w:rPr>
      </w:pPr>
      <w:r w:rsidRPr="007466EF">
        <w:rPr>
          <w:rFonts w:eastAsiaTheme="minorHAnsi"/>
          <w:lang w:eastAsia="en-US"/>
        </w:rPr>
        <w:t xml:space="preserve">U 2024. subvencije trgovačkim društvima u javnom sektoru i subvencije trgovačkim društvima i zadrugama izvan javnog sektora </w:t>
      </w:r>
      <w:r w:rsidR="00C40D2A">
        <w:rPr>
          <w:rFonts w:eastAsiaTheme="minorHAnsi"/>
          <w:lang w:eastAsia="en-US"/>
        </w:rPr>
        <w:t>ostvarene</w:t>
      </w:r>
      <w:r w:rsidRPr="007466EF">
        <w:rPr>
          <w:rFonts w:eastAsiaTheme="minorHAnsi"/>
          <w:lang w:eastAsia="en-US"/>
        </w:rPr>
        <w:t xml:space="preserve"> su u iznosu od 65.365.983,00 eura što predstavlja povećanje od 20,1% više u odnosu na isto razdoblje 2023.</w:t>
      </w:r>
    </w:p>
    <w:p w14:paraId="56356A89" w14:textId="60B6505D" w:rsidR="00113812" w:rsidRPr="007466EF" w:rsidRDefault="000F0D22" w:rsidP="00113812">
      <w:pPr>
        <w:jc w:val="both"/>
        <w:rPr>
          <w:rFonts w:eastAsiaTheme="minorHAnsi"/>
          <w:lang w:eastAsia="en-US"/>
        </w:rPr>
      </w:pPr>
      <w:r w:rsidRPr="007466EF">
        <w:rPr>
          <w:rFonts w:eastAsiaTheme="minorHAnsi"/>
          <w:lang w:eastAsia="en-US"/>
        </w:rPr>
        <w:t>U 2022.</w:t>
      </w:r>
      <w:r w:rsidR="00113812" w:rsidRPr="007466EF">
        <w:rPr>
          <w:rFonts w:eastAsiaTheme="minorHAnsi"/>
          <w:lang w:eastAsia="en-US"/>
        </w:rPr>
        <w:t xml:space="preserve"> HBOR, Ministarstvo financija, kao tijelo nadležno za koordinaciju praćenja provedbe NPOO-a 2021.-2026., i Ministarstvo gospodarstva i održivog razvoja, kao tijelo nadležno za komponentu/</w:t>
      </w:r>
      <w:proofErr w:type="spellStart"/>
      <w:r w:rsidR="00113812" w:rsidRPr="007466EF">
        <w:rPr>
          <w:rFonts w:eastAsiaTheme="minorHAnsi"/>
          <w:lang w:eastAsia="en-US"/>
        </w:rPr>
        <w:t>podkomponentu</w:t>
      </w:r>
      <w:proofErr w:type="spellEnd"/>
      <w:r w:rsidR="00113812" w:rsidRPr="007466EF">
        <w:rPr>
          <w:rFonts w:eastAsiaTheme="minorHAnsi"/>
          <w:lang w:eastAsia="en-US"/>
        </w:rPr>
        <w:t xml:space="preserve"> NPOO-a 2021.-2026., sklopili su:</w:t>
      </w:r>
    </w:p>
    <w:p w14:paraId="5A44F0B8" w14:textId="312F78B1" w:rsidR="00113812" w:rsidRPr="007466EF" w:rsidRDefault="00113812" w:rsidP="00B80BFC">
      <w:pPr>
        <w:numPr>
          <w:ilvl w:val="0"/>
          <w:numId w:val="4"/>
        </w:numPr>
        <w:contextualSpacing/>
        <w:jc w:val="both"/>
      </w:pPr>
      <w:r w:rsidRPr="007466EF">
        <w:t>Sporazum o delegiranim poslovima u svrhu ustrojavanja "</w:t>
      </w:r>
      <w:proofErr w:type="spellStart"/>
      <w:r w:rsidRPr="007466EF">
        <w:t>umbrella</w:t>
      </w:r>
      <w:proofErr w:type="spellEnd"/>
      <w:r w:rsidRPr="007466EF">
        <w:t>" jamstvenog fonda - inicijalno raspoloživa sredstva namijenjena za ovaj financijski instrument iznose 600 milijuna kuna, odnosno 79.633.685,09 eura,</w:t>
      </w:r>
    </w:p>
    <w:p w14:paraId="21D3B2B7" w14:textId="0535FEAA" w:rsidR="00113812" w:rsidRPr="007466EF" w:rsidRDefault="00113812" w:rsidP="00B80BFC">
      <w:pPr>
        <w:numPr>
          <w:ilvl w:val="0"/>
          <w:numId w:val="4"/>
        </w:numPr>
        <w:contextualSpacing/>
        <w:jc w:val="both"/>
      </w:pPr>
      <w:r w:rsidRPr="007466EF">
        <w:t>Sporazum o delegiranim poslovima u svrhu ustrojavanja fonda subvencija za subvencioniranje kamata po kreditima subjektima srednje tržišne kapitalizacije i velikim poslovnim subjektima -  inicijalno raspoloživa sredstva namijenjena za ovaj financijski instrument iznose 200 milijuna kuna, odnosno 26.544.561,68 eura,</w:t>
      </w:r>
    </w:p>
    <w:p w14:paraId="517BD139" w14:textId="03776381" w:rsidR="00113812" w:rsidRPr="007466EF" w:rsidRDefault="00113812" w:rsidP="00B80BFC">
      <w:pPr>
        <w:numPr>
          <w:ilvl w:val="0"/>
          <w:numId w:val="4"/>
        </w:numPr>
        <w:contextualSpacing/>
        <w:jc w:val="both"/>
      </w:pPr>
      <w:r w:rsidRPr="007466EF">
        <w:t>Sporazum o delegiranim poslovima u svrhu ustrojavanja fonda subvencija za subvencioniranje kamata po kreditima za subjekte javnog sektora -  inicijalno raspoloživa sredstva namijenjena za ovaj financijski instrument iznose 200 milijuna kuna, odnosno 26.544.561,68 eura,</w:t>
      </w:r>
    </w:p>
    <w:p w14:paraId="16166122" w14:textId="49FAAF9A" w:rsidR="00113812" w:rsidRPr="007466EF" w:rsidRDefault="00113812" w:rsidP="00B80BFC">
      <w:pPr>
        <w:numPr>
          <w:ilvl w:val="0"/>
          <w:numId w:val="4"/>
        </w:numPr>
        <w:contextualSpacing/>
        <w:jc w:val="both"/>
      </w:pPr>
      <w:r w:rsidRPr="007466EF">
        <w:t>Sporazum o delegiranim poslovima u svrhu ustrojavanja fonda subvencija za subvencioniranje kamata po kreditima za mikro, male i srednje poslovne subjekte -  inicijalno raspoloživa sredstva namijenjena za ovaj financijski instrument iznose 200 milijuna kuna, odnosno 26.544.561,68 eura.</w:t>
      </w:r>
    </w:p>
    <w:p w14:paraId="73991EA1" w14:textId="77777777" w:rsidR="00113812" w:rsidRPr="007466EF" w:rsidRDefault="00113812" w:rsidP="00113812">
      <w:pPr>
        <w:shd w:val="clear" w:color="auto" w:fill="FFFFFF"/>
        <w:jc w:val="both"/>
        <w:rPr>
          <w:color w:val="000000"/>
        </w:rPr>
      </w:pPr>
    </w:p>
    <w:p w14:paraId="5438F90E" w14:textId="4E35C8F3" w:rsidR="00113812" w:rsidRPr="007466EF" w:rsidRDefault="00113812" w:rsidP="00113812">
      <w:pPr>
        <w:jc w:val="both"/>
        <w:rPr>
          <w:rFonts w:eastAsiaTheme="minorHAnsi"/>
          <w:lang w:eastAsia="en-US"/>
        </w:rPr>
      </w:pPr>
      <w:r w:rsidRPr="007466EF">
        <w:rPr>
          <w:rFonts w:eastAsiaTheme="minorHAnsi"/>
          <w:lang w:eastAsia="en-US"/>
        </w:rPr>
        <w:t>Sporazumom je HBOR ovlašten na provedbu i upravljanje s financijskim instrumentom, u svoje ime, a za račun i na rizik Republike Hrvatske. Financijski instrument provodi se izravnim odobrenjem kredita od strane HBOR-a u skladu s investicijskom politikom. Temeljem investicijske politike HBOR izrađuje plan povlačenja raspoloživih sredstava koja su osigurana u državnom proračunu.</w:t>
      </w:r>
    </w:p>
    <w:p w14:paraId="28B75D96" w14:textId="77777777" w:rsidR="00113812" w:rsidRPr="007466EF" w:rsidRDefault="00113812" w:rsidP="00113812">
      <w:pPr>
        <w:jc w:val="both"/>
        <w:rPr>
          <w:rFonts w:eastAsiaTheme="minorHAnsi"/>
          <w:lang w:eastAsia="en-US"/>
        </w:rPr>
      </w:pPr>
    </w:p>
    <w:p w14:paraId="1D8E129E" w14:textId="77777777" w:rsidR="00113812" w:rsidRPr="007466EF" w:rsidRDefault="00113812" w:rsidP="00113812">
      <w:pPr>
        <w:jc w:val="both"/>
        <w:rPr>
          <w:rFonts w:eastAsiaTheme="minorHAnsi"/>
          <w:lang w:eastAsia="en-US"/>
        </w:rPr>
      </w:pPr>
      <w:r w:rsidRPr="007466EF">
        <w:rPr>
          <w:rFonts w:eastAsiaTheme="minorHAnsi"/>
          <w:lang w:eastAsia="en-US"/>
        </w:rPr>
        <w:t>U skladu s Uputom Ministarstva financija (KLASA: 400-02/22-01/54 URBROJ:513-05-03-22-1) od 29. prosinca 2022. doznačavanje sredstava iz financijskih instrumenata krajnjim primateljima putem posrednika HBOR-a, evidentira se na osnovnim računima prema krajnjim primateljima, a ne kao da je dan zajam HBOR-u.</w:t>
      </w:r>
    </w:p>
    <w:p w14:paraId="6E6D0A0B" w14:textId="77777777" w:rsidR="00113812" w:rsidRPr="007466EF" w:rsidRDefault="00113812" w:rsidP="00113812">
      <w:pPr>
        <w:jc w:val="both"/>
        <w:rPr>
          <w:rFonts w:eastAsiaTheme="minorHAnsi"/>
          <w:lang w:eastAsia="en-US"/>
        </w:rPr>
      </w:pPr>
    </w:p>
    <w:p w14:paraId="68272F3F" w14:textId="0C2F6B59" w:rsidR="00113812" w:rsidRPr="007466EF" w:rsidRDefault="00113812" w:rsidP="00113812">
      <w:pPr>
        <w:jc w:val="both"/>
        <w:rPr>
          <w:rFonts w:eastAsiaTheme="minorHAnsi"/>
          <w:lang w:eastAsia="en-US"/>
        </w:rPr>
      </w:pPr>
      <w:r w:rsidRPr="007466EF">
        <w:rPr>
          <w:rFonts w:eastAsiaTheme="minorHAnsi"/>
          <w:lang w:eastAsia="en-US"/>
        </w:rPr>
        <w:t xml:space="preserve">U 2024. Ministarstvo financija je sukladno spomenutim Sporazumima, a na temelju plana povlačenja i zahtjeva za plaćanje dostavljenog od strane HBOR-a isplatilo iznos od 13.272.281,00 eura na ime subvencija trgovačkim društvima u javnom sektoru, dok je na ime danih zajmova trgovačkim društvima i zadrugama izvan javnog sektora isplaćeno </w:t>
      </w:r>
      <w:r w:rsidR="007B2224" w:rsidRPr="007466EF">
        <w:rPr>
          <w:rFonts w:eastAsiaTheme="minorHAnsi"/>
          <w:lang w:eastAsia="en-US"/>
        </w:rPr>
        <w:t>46.452.983,00</w:t>
      </w:r>
      <w:r w:rsidRPr="007466EF">
        <w:rPr>
          <w:rFonts w:eastAsiaTheme="minorHAnsi"/>
          <w:lang w:eastAsia="en-US"/>
        </w:rPr>
        <w:t xml:space="preserve"> eura.</w:t>
      </w:r>
    </w:p>
    <w:p w14:paraId="3FADA3AB" w14:textId="3D1301B4" w:rsidR="00113812" w:rsidRPr="007466EF" w:rsidRDefault="00113812" w:rsidP="00864F97">
      <w:pPr>
        <w:jc w:val="both"/>
        <w:rPr>
          <w:rFonts w:eastAsiaTheme="minorHAnsi"/>
          <w:lang w:eastAsia="en-US"/>
        </w:rPr>
      </w:pPr>
    </w:p>
    <w:p w14:paraId="11527586" w14:textId="47969865" w:rsidR="00864F97" w:rsidRPr="007466EF" w:rsidRDefault="00864F97" w:rsidP="00864F97">
      <w:pPr>
        <w:jc w:val="both"/>
        <w:rPr>
          <w:rFonts w:eastAsiaTheme="minorHAnsi"/>
          <w:lang w:eastAsia="en-US"/>
        </w:rPr>
      </w:pPr>
      <w:r w:rsidRPr="007466EF">
        <w:rPr>
          <w:rFonts w:eastAsiaTheme="minorHAnsi"/>
          <w:lang w:eastAsia="en-US"/>
        </w:rPr>
        <w:t xml:space="preserve">U okviru subvencija trgovačkim društvima i zadrugama izvan javnog sektora isplaćena su i sredstva iz državnog proračuna u Garantni fond za poslove osiguranja izvoza temeljem Uredbe o osiguranju izvoza („Narodne novine“, broj 53/20). Sredstva iz Garantnog fonda služe za isplatu odšteta, pokriće troškova sprječavanja nastanka štete i troškova regresne naplate, plaćanje obveza proizašlih iz preuzetih obveza po poslovima osiguranja izvoza i za pokriće ostalih troškova HBOR u provedbi osiguranja izvoza. Kako bi se osigurala dugoročna održivost provedbe poslova osiguranja izvoza, HBOR uvela je mjere i pokazatelje kojima se prati </w:t>
      </w:r>
      <w:r w:rsidRPr="007466EF">
        <w:rPr>
          <w:rFonts w:eastAsiaTheme="minorHAnsi"/>
          <w:lang w:eastAsia="en-US"/>
        </w:rPr>
        <w:lastRenderedPageBreak/>
        <w:t>rizičnost i upravlja portfeljem izvoza na način da omjer Garantnog fonda i ukupne neto rizičnosti ne smije b</w:t>
      </w:r>
      <w:r w:rsidR="007B2224" w:rsidRPr="007466EF">
        <w:rPr>
          <w:rFonts w:eastAsiaTheme="minorHAnsi"/>
          <w:lang w:eastAsia="en-US"/>
        </w:rPr>
        <w:t>iti niži od 8%. U 2024. u Garantni fond uplaćeno je 5</w:t>
      </w:r>
      <w:r w:rsidRPr="007466EF">
        <w:rPr>
          <w:rFonts w:eastAsiaTheme="minorHAnsi"/>
          <w:lang w:eastAsia="en-US"/>
        </w:rPr>
        <w:t>,6 milijuna eura.</w:t>
      </w:r>
    </w:p>
    <w:p w14:paraId="1C8D60E2" w14:textId="5C75D4C8" w:rsidR="00864F97" w:rsidRPr="007466EF" w:rsidRDefault="00864F97" w:rsidP="007466EF">
      <w:pPr>
        <w:jc w:val="both"/>
        <w:rPr>
          <w:color w:val="000000"/>
        </w:rPr>
      </w:pPr>
    </w:p>
    <w:p w14:paraId="76CA8EF2" w14:textId="06055455" w:rsidR="00864F97" w:rsidRPr="007466EF" w:rsidRDefault="008825EB" w:rsidP="00864F97">
      <w:pPr>
        <w:pStyle w:val="Naslov"/>
        <w:keepNext/>
        <w:rPr>
          <w:b w:val="0"/>
          <w:bCs w:val="0"/>
        </w:rPr>
      </w:pPr>
      <w:r w:rsidRPr="007466EF">
        <w:rPr>
          <w:b w:val="0"/>
          <w:bCs w:val="0"/>
        </w:rPr>
        <w:t xml:space="preserve">Bilješka </w:t>
      </w:r>
      <w:r w:rsidR="00E10467" w:rsidRPr="007466EF">
        <w:rPr>
          <w:b w:val="0"/>
          <w:bCs w:val="0"/>
        </w:rPr>
        <w:t>32</w:t>
      </w:r>
      <w:r w:rsidR="00864F97" w:rsidRPr="007466EF">
        <w:rPr>
          <w:b w:val="0"/>
          <w:bCs w:val="0"/>
        </w:rPr>
        <w:t>.</w:t>
      </w:r>
    </w:p>
    <w:p w14:paraId="53DAD9BE" w14:textId="77777777" w:rsidR="00864F97" w:rsidRPr="007466EF" w:rsidRDefault="00864F97" w:rsidP="00864F97">
      <w:pPr>
        <w:pStyle w:val="Naslov"/>
        <w:keepNext/>
        <w:rPr>
          <w:b w:val="0"/>
          <w:bCs w:val="0"/>
        </w:rPr>
      </w:pPr>
      <w:r w:rsidRPr="007466EF">
        <w:rPr>
          <w:b w:val="0"/>
          <w:bCs w:val="0"/>
        </w:rPr>
        <w:t>Šifra 3521 Subvencije kreditnim i ostalim financijskim institucijama izvan javnog sektora</w:t>
      </w:r>
    </w:p>
    <w:p w14:paraId="2453739F" w14:textId="039A33FA" w:rsidR="008825EB" w:rsidRPr="007466EF" w:rsidRDefault="008825EB" w:rsidP="008825EB">
      <w:pPr>
        <w:jc w:val="both"/>
      </w:pPr>
      <w:r w:rsidRPr="007466EF">
        <w:t xml:space="preserve">U 2024. subvencije kreditnim i ostalim financijskim institucijama izvan javnog sektora </w:t>
      </w:r>
      <w:r w:rsidR="00C40D2A">
        <w:t>ostvarene</w:t>
      </w:r>
      <w:r w:rsidRPr="007466EF">
        <w:t xml:space="preserve"> su u iznosu od </w:t>
      </w:r>
      <w:r w:rsidR="00113812" w:rsidRPr="007466EF">
        <w:t>14.575.533,01</w:t>
      </w:r>
      <w:r w:rsidRPr="007466EF">
        <w:t xml:space="preserve"> eura dok su u istom razdoblju 2023. ostvareni u iznosu od </w:t>
      </w:r>
      <w:r w:rsidR="00113812" w:rsidRPr="007466EF">
        <w:t>8.345.298,00</w:t>
      </w:r>
      <w:r w:rsidRPr="007466EF">
        <w:t xml:space="preserve"> eura, što predstavlja povećanje </w:t>
      </w:r>
      <w:r w:rsidR="00113812" w:rsidRPr="007466EF">
        <w:t>od 74,7</w:t>
      </w:r>
      <w:r w:rsidRPr="007466EF">
        <w:t xml:space="preserve">% u promatranom razdoblju. Naime, </w:t>
      </w:r>
      <w:r w:rsidRPr="007466EF">
        <w:rPr>
          <w:bCs/>
        </w:rPr>
        <w:t>temeljem Ugovora o nalogu za obavljanje poslova povlaštenog financiranja po kreditnim programima HBOR-a, HBOR u ime i za račun Republike Hrvatske vodi Fond sredstava za povlašteno financiranje po kreditnim programima HBOR-a, namijenjen subvencioniranju kamatnih stopa kojim se iz sredstava državnog proračuna omogućava kreditiranje hrvatskog gospodarstva po nižim kamatnim stopama.</w:t>
      </w:r>
    </w:p>
    <w:p w14:paraId="6AB9A2B7" w14:textId="77777777" w:rsidR="00864F97" w:rsidRPr="007466EF" w:rsidRDefault="00864F97" w:rsidP="007466EF">
      <w:pPr>
        <w:jc w:val="both"/>
        <w:rPr>
          <w:color w:val="000000"/>
        </w:rPr>
      </w:pPr>
    </w:p>
    <w:p w14:paraId="6EA430F3" w14:textId="426D254B" w:rsidR="00864F97" w:rsidRPr="007466EF" w:rsidRDefault="00C3176A" w:rsidP="00864F97">
      <w:pPr>
        <w:pStyle w:val="Naslov"/>
        <w:keepNext/>
        <w:rPr>
          <w:b w:val="0"/>
          <w:bCs w:val="0"/>
          <w:szCs w:val="28"/>
        </w:rPr>
      </w:pPr>
      <w:r w:rsidRPr="007466EF">
        <w:rPr>
          <w:b w:val="0"/>
          <w:bCs w:val="0"/>
          <w:szCs w:val="28"/>
        </w:rPr>
        <w:t xml:space="preserve">Bilješka </w:t>
      </w:r>
      <w:r w:rsidR="00E10467" w:rsidRPr="007466EF">
        <w:rPr>
          <w:b w:val="0"/>
          <w:bCs w:val="0"/>
          <w:szCs w:val="28"/>
        </w:rPr>
        <w:t>33</w:t>
      </w:r>
      <w:r w:rsidR="00864F97" w:rsidRPr="007466EF">
        <w:rPr>
          <w:b w:val="0"/>
          <w:bCs w:val="0"/>
          <w:szCs w:val="28"/>
        </w:rPr>
        <w:t>.</w:t>
      </w:r>
    </w:p>
    <w:p w14:paraId="2BF6DEC1" w14:textId="77777777" w:rsidR="00864F97" w:rsidRPr="007466EF" w:rsidRDefault="00864F97" w:rsidP="00864F97">
      <w:pPr>
        <w:shd w:val="clear" w:color="auto" w:fill="FFFFFF"/>
        <w:jc w:val="center"/>
        <w:rPr>
          <w:color w:val="000000"/>
          <w:sz w:val="28"/>
          <w:szCs w:val="28"/>
        </w:rPr>
      </w:pPr>
      <w:r w:rsidRPr="007466EF">
        <w:rPr>
          <w:color w:val="000000"/>
          <w:sz w:val="28"/>
          <w:szCs w:val="28"/>
        </w:rPr>
        <w:t>Šifra 3621 Tekuće pomoći međunarodnim organizacijama te institucijama i tijelima EU</w:t>
      </w:r>
    </w:p>
    <w:p w14:paraId="65AD3017" w14:textId="510526F6" w:rsidR="00C3176A" w:rsidRPr="007466EF" w:rsidRDefault="00C3176A" w:rsidP="00B726B1">
      <w:pPr>
        <w:shd w:val="clear" w:color="auto" w:fill="FFFFFF"/>
        <w:jc w:val="both"/>
      </w:pPr>
      <w:r w:rsidRPr="007466EF">
        <w:t xml:space="preserve">Tekuće pomoći međunarodnim organizacijama te institucijama i tijelima EU </w:t>
      </w:r>
      <w:r w:rsidR="00C40D2A">
        <w:t>ostvarene</w:t>
      </w:r>
      <w:r w:rsidRPr="007466EF">
        <w:t xml:space="preserve"> su u 2024. u iznosu od 712.624.848,81 eura, odnosno za 1% više u odnosu na </w:t>
      </w:r>
      <w:r w:rsidR="003711B4" w:rsidRPr="007466EF">
        <w:t>isto razdoblje</w:t>
      </w:r>
      <w:r w:rsidR="00B726B1" w:rsidRPr="007466EF">
        <w:t xml:space="preserve"> 2023. Iznos od 710.763.631,42 eura odnosi</w:t>
      </w:r>
      <w:r w:rsidRPr="007466EF">
        <w:t xml:space="preserve"> se na izdvajanja za doprinos Republike Hrvatske proračunu Europske unije na temelju tra</w:t>
      </w:r>
      <w:r w:rsidR="00B726B1" w:rsidRPr="007466EF">
        <w:t>dicionalnih vlastitih sredstava, doprinos koji se temelji na udjelu poreza na dodanu vrijednost (PDV), poreza na potrošnju koji prikupljaju zemlje EU-a, doprinos na temelju bruto nacionalnog dohotka (BDP) te doprinos zbog nerecikliranog plastičnog ambalažnog otpada.</w:t>
      </w:r>
    </w:p>
    <w:p w14:paraId="2E8674BE" w14:textId="773958D0" w:rsidR="005A0E37" w:rsidRPr="007466EF" w:rsidRDefault="005A0E37" w:rsidP="00864F97">
      <w:pPr>
        <w:shd w:val="clear" w:color="auto" w:fill="FFFFFF"/>
        <w:jc w:val="both"/>
      </w:pPr>
    </w:p>
    <w:p w14:paraId="2F4929DC" w14:textId="6DD8D1B1" w:rsidR="005A0E37" w:rsidRPr="007466EF" w:rsidRDefault="00B726B1" w:rsidP="005A0E37">
      <w:pPr>
        <w:shd w:val="clear" w:color="auto" w:fill="FFFFFF"/>
        <w:jc w:val="both"/>
      </w:pPr>
      <w:r w:rsidRPr="007466EF">
        <w:t xml:space="preserve">Dodatno, </w:t>
      </w:r>
      <w:r w:rsidR="005A0E37" w:rsidRPr="007466EF">
        <w:t>Uredbom (EU) 2022/2463 Europskog parlamenta i Vijeća od 14. prosinca 2022. uspostavljen je instrument za pružanje potpore Ukrajini za 2023. – makrofinancijska pomoć + (MFA+). EU će Ukrajini pružiti subvenciju kamatnih stopa za razdoblje od 1. siječnja 20</w:t>
      </w:r>
      <w:r w:rsidR="000F0D22" w:rsidRPr="007466EF">
        <w:t>23. do 31. prosinca 2027.</w:t>
      </w:r>
      <w:r w:rsidR="005A0E37" w:rsidRPr="007466EF">
        <w:t>, koja će se financirati iz proračuna EU te doprinosima država članica u obliku vanjskih namjenskih prihoda. Vezano uz prethodno navedeno potpisan je Sporazum o doprinosu kojim se Republika Hrvatska obvezuje na davanje doprinosa za subvencioniranje kamatnih stopa (za dane zajmove Ukrajini po povoljnim uvjetima). Sporazum je potpisan 20. listo</w:t>
      </w:r>
      <w:r w:rsidR="000F0D22" w:rsidRPr="007466EF">
        <w:t>pada i 9. studenoga 2023</w:t>
      </w:r>
      <w:r w:rsidR="005A0E37" w:rsidRPr="007466EF">
        <w:t>. Prema Sporazumu o doprinosu maksimalni iznos za Republiku Hrvatsku za razdoblje 2024. - 2027. iznosi 10.924.222,00 EUR, odnosno 2.731.055,50 EUR na godišnjoj razini.</w:t>
      </w:r>
    </w:p>
    <w:p w14:paraId="2E14763D" w14:textId="77777777" w:rsidR="005A0E37" w:rsidRPr="007466EF" w:rsidRDefault="005A0E37" w:rsidP="005A0E37">
      <w:pPr>
        <w:shd w:val="clear" w:color="auto" w:fill="FFFFFF"/>
        <w:jc w:val="both"/>
      </w:pPr>
    </w:p>
    <w:p w14:paraId="6E1121D0" w14:textId="24D7A574" w:rsidR="005A0E37" w:rsidRPr="007466EF" w:rsidRDefault="005A0E37" w:rsidP="005A0E37">
      <w:pPr>
        <w:shd w:val="clear" w:color="auto" w:fill="FFFFFF"/>
        <w:jc w:val="both"/>
        <w:rPr>
          <w:color w:val="000000"/>
        </w:rPr>
      </w:pPr>
      <w:r w:rsidRPr="007466EF">
        <w:t xml:space="preserve">Nastavno na prethodno navedeno u razdoblju od 01.01. do 31.12.2024. plaćen je Europskoj </w:t>
      </w:r>
      <w:r w:rsidRPr="007466EF">
        <w:rPr>
          <w:color w:val="000000"/>
        </w:rPr>
        <w:t>komisiji doprinos Republike Hrvatske u iznosu od 1.861.217,39 EUR.</w:t>
      </w:r>
    </w:p>
    <w:p w14:paraId="0CE890FC" w14:textId="510EDE66" w:rsidR="00C3176A" w:rsidRPr="007466EF" w:rsidRDefault="00C3176A" w:rsidP="00864F97">
      <w:pPr>
        <w:shd w:val="clear" w:color="auto" w:fill="FFFFFF"/>
        <w:jc w:val="both"/>
      </w:pPr>
    </w:p>
    <w:p w14:paraId="64A94C78" w14:textId="12DA4D03" w:rsidR="00C3176A" w:rsidRPr="007466EF" w:rsidRDefault="00C3176A" w:rsidP="00C3176A">
      <w:pPr>
        <w:pStyle w:val="Naslov"/>
        <w:keepNext/>
        <w:rPr>
          <w:b w:val="0"/>
          <w:bCs w:val="0"/>
          <w:szCs w:val="28"/>
        </w:rPr>
      </w:pPr>
      <w:r w:rsidRPr="007466EF">
        <w:rPr>
          <w:b w:val="0"/>
          <w:bCs w:val="0"/>
          <w:szCs w:val="28"/>
        </w:rPr>
        <w:t>Bilješka</w:t>
      </w:r>
      <w:r w:rsidR="00E10467" w:rsidRPr="007466EF">
        <w:rPr>
          <w:b w:val="0"/>
          <w:bCs w:val="0"/>
          <w:szCs w:val="28"/>
        </w:rPr>
        <w:t xml:space="preserve"> 34</w:t>
      </w:r>
      <w:r w:rsidRPr="007466EF">
        <w:rPr>
          <w:b w:val="0"/>
          <w:bCs w:val="0"/>
          <w:szCs w:val="28"/>
        </w:rPr>
        <w:t>.</w:t>
      </w:r>
    </w:p>
    <w:p w14:paraId="65187365" w14:textId="77777777" w:rsidR="00C3176A" w:rsidRPr="007466EF" w:rsidRDefault="00C3176A" w:rsidP="00C3176A">
      <w:pPr>
        <w:shd w:val="clear" w:color="auto" w:fill="FFFFFF"/>
        <w:jc w:val="center"/>
        <w:rPr>
          <w:color w:val="000000"/>
          <w:sz w:val="28"/>
          <w:szCs w:val="28"/>
        </w:rPr>
      </w:pPr>
      <w:r w:rsidRPr="007466EF">
        <w:rPr>
          <w:color w:val="000000"/>
          <w:sz w:val="28"/>
          <w:szCs w:val="28"/>
        </w:rPr>
        <w:t>Šifra 3622 Tekuće pomoći međunarodnim organizacijama te institucijama i tijelima EU</w:t>
      </w:r>
    </w:p>
    <w:p w14:paraId="760FD9B5" w14:textId="20643860" w:rsidR="00C3176A" w:rsidRPr="007466EF" w:rsidRDefault="00C3176A" w:rsidP="00C3176A">
      <w:pPr>
        <w:shd w:val="clear" w:color="auto" w:fill="FFFFFF"/>
        <w:jc w:val="both"/>
      </w:pPr>
      <w:r w:rsidRPr="007466EF">
        <w:t xml:space="preserve">Kapitalne pomoći međunarodnim organizacijama </w:t>
      </w:r>
      <w:r w:rsidR="00C40D2A">
        <w:t>te institucijama i tijelima EU ostvarene</w:t>
      </w:r>
      <w:r w:rsidRPr="007466EF">
        <w:t xml:space="preserve"> su u 2024. u iznosu od 1.000.000,00 eura dok u 2023. nije bilo evidentiranih rashoda. </w:t>
      </w:r>
    </w:p>
    <w:p w14:paraId="591FFACD" w14:textId="77777777" w:rsidR="00C3176A" w:rsidRPr="007466EF" w:rsidRDefault="00C3176A" w:rsidP="00C3176A">
      <w:pPr>
        <w:shd w:val="clear" w:color="auto" w:fill="FFFFFF"/>
        <w:jc w:val="both"/>
      </w:pPr>
    </w:p>
    <w:p w14:paraId="3AE562AA" w14:textId="1D1D4C9A" w:rsidR="00C3176A" w:rsidRPr="007466EF" w:rsidRDefault="00C3176A" w:rsidP="005A0E37">
      <w:pPr>
        <w:shd w:val="clear" w:color="auto" w:fill="FFFFFF"/>
        <w:jc w:val="both"/>
      </w:pPr>
      <w:r w:rsidRPr="007466EF">
        <w:t xml:space="preserve">Odbor direktora Europske investicijske banke (EIB) je, 29. ožujka 2023., odobrio </w:t>
      </w:r>
      <w:r w:rsidR="00B726B1" w:rsidRPr="007466EF">
        <w:t xml:space="preserve">je </w:t>
      </w:r>
      <w:r w:rsidRPr="007466EF">
        <w:t xml:space="preserve">osnivanje Fonda EU-a za Ukrajinu (u daljnjem tekstu: Fond) u koji se države članice EIB-a obvezuju dati svoj doprinos putem pojedinačnih sporazuma o doprinosu (sredstva Fonda koristit će se kao </w:t>
      </w:r>
      <w:r w:rsidRPr="007466EF">
        <w:lastRenderedPageBreak/>
        <w:t>pokriće gubitaka koje bi EIB mogao ostvariti prilikom financiranja daljnjih aktivnosti u Ukrajini). Na sastanku Vijeća za ekonomske i financijske poslove održanom 14. srpnja 2023., države članice EIB-a potpisale su Pismo o iskazu interesa za doprinos Fondu.</w:t>
      </w:r>
      <w:r w:rsidR="005A0E37" w:rsidRPr="007466EF">
        <w:t xml:space="preserve"> Sporazum o doprinosu između Republike Hrvatske i Europske investicijske banke (EIB) vezan uz Fond potpisan je 12. i 26. travnja 2024. čime je omogućeno davanje doprinosa Republike Hrvatske Fondu u izn</w:t>
      </w:r>
      <w:r w:rsidR="00B45121" w:rsidRPr="007466EF">
        <w:t xml:space="preserve">osu od 1.000.000,00 </w:t>
      </w:r>
      <w:r w:rsidR="005A0E37" w:rsidRPr="007466EF">
        <w:t>EUR. Nastavno na prethodno navedeno plaćen je doprinos Republi</w:t>
      </w:r>
      <w:r w:rsidR="00B45121" w:rsidRPr="007466EF">
        <w:t xml:space="preserve">ke Hrvatske Fondu u iznosu od 1.000.000,00 </w:t>
      </w:r>
      <w:r w:rsidR="005A0E37" w:rsidRPr="007466EF">
        <w:t xml:space="preserve">EUR </w:t>
      </w:r>
      <w:r w:rsidR="00B45121" w:rsidRPr="007466EF">
        <w:t>dana 3. lipnja</w:t>
      </w:r>
      <w:r w:rsidR="005A0E37" w:rsidRPr="007466EF">
        <w:t>.2024.</w:t>
      </w:r>
    </w:p>
    <w:p w14:paraId="47618806" w14:textId="6262A838" w:rsidR="00C3176A" w:rsidRPr="007466EF" w:rsidRDefault="00C3176A" w:rsidP="007466EF">
      <w:pPr>
        <w:shd w:val="clear" w:color="auto" w:fill="FFFFFF"/>
        <w:jc w:val="both"/>
      </w:pPr>
    </w:p>
    <w:p w14:paraId="10657A38" w14:textId="07B86180" w:rsidR="00864F97" w:rsidRPr="007466EF" w:rsidRDefault="00E10467" w:rsidP="00864F97">
      <w:pPr>
        <w:pStyle w:val="Naslov"/>
        <w:keepNext/>
        <w:rPr>
          <w:b w:val="0"/>
          <w:bCs w:val="0"/>
        </w:rPr>
      </w:pPr>
      <w:r w:rsidRPr="007466EF">
        <w:rPr>
          <w:b w:val="0"/>
          <w:bCs w:val="0"/>
        </w:rPr>
        <w:t>Bilješka 35</w:t>
      </w:r>
      <w:r w:rsidR="00864F97" w:rsidRPr="007466EF">
        <w:rPr>
          <w:b w:val="0"/>
          <w:bCs w:val="0"/>
        </w:rPr>
        <w:t>.</w:t>
      </w:r>
    </w:p>
    <w:p w14:paraId="200E7390" w14:textId="77777777" w:rsidR="00864F97" w:rsidRPr="007466EF" w:rsidRDefault="00864F97" w:rsidP="00864F97">
      <w:pPr>
        <w:pStyle w:val="Naslov"/>
        <w:keepNext/>
        <w:rPr>
          <w:b w:val="0"/>
          <w:bCs w:val="0"/>
        </w:rPr>
      </w:pPr>
      <w:r w:rsidRPr="007466EF">
        <w:rPr>
          <w:b w:val="0"/>
          <w:bCs w:val="0"/>
        </w:rPr>
        <w:t xml:space="preserve">Šifra 3631 Tekuće pomoći unutar općeg proračuna </w:t>
      </w:r>
    </w:p>
    <w:p w14:paraId="2C12ADD1" w14:textId="3D874BC4" w:rsidR="003711B4" w:rsidRPr="007466EF" w:rsidRDefault="00864F97" w:rsidP="00864F97">
      <w:pPr>
        <w:jc w:val="both"/>
      </w:pPr>
      <w:r w:rsidRPr="007466EF">
        <w:t>Tekuće pomo</w:t>
      </w:r>
      <w:r w:rsidR="003711B4" w:rsidRPr="007466EF">
        <w:t>ći unutar općeg proračuna u 2024. i</w:t>
      </w:r>
      <w:r w:rsidR="00024422">
        <w:t xml:space="preserve"> </w:t>
      </w:r>
      <w:r w:rsidR="00C40D2A">
        <w:t>ostvarene</w:t>
      </w:r>
      <w:r w:rsidRPr="007466EF">
        <w:t xml:space="preserve"> su u iznosu od </w:t>
      </w:r>
      <w:r w:rsidR="003711B4" w:rsidRPr="007466EF">
        <w:t xml:space="preserve">277.622.989,05 eura dok su u istom razdoblju 2023. </w:t>
      </w:r>
      <w:r w:rsidR="00024422">
        <w:t>ostvarene</w:t>
      </w:r>
      <w:r w:rsidR="003711B4" w:rsidRPr="007466EF">
        <w:t xml:space="preserve"> u iznosu od 307.369.084,89 eura, što predstavlja smanjenje od 9,7% u promatranom razdoblju.</w:t>
      </w:r>
    </w:p>
    <w:p w14:paraId="073A792B" w14:textId="228C7D59" w:rsidR="003711B4" w:rsidRPr="007466EF" w:rsidRDefault="003711B4" w:rsidP="00864F97">
      <w:pPr>
        <w:jc w:val="both"/>
      </w:pPr>
    </w:p>
    <w:p w14:paraId="292B2F67" w14:textId="4611517E" w:rsidR="007C28B7" w:rsidRPr="007466EF" w:rsidRDefault="007C28B7" w:rsidP="007C28B7">
      <w:pPr>
        <w:pStyle w:val="StandardWeb"/>
        <w:shd w:val="clear" w:color="auto" w:fill="FFFFFF"/>
        <w:spacing w:before="0" w:beforeAutospacing="0" w:after="0" w:afterAutospacing="0"/>
        <w:jc w:val="both"/>
        <w:rPr>
          <w:color w:val="000000"/>
        </w:rPr>
      </w:pPr>
      <w:r w:rsidRPr="007466EF">
        <w:rPr>
          <w:color w:val="000000"/>
        </w:rPr>
        <w:t>Temeljem odredbi Zakona o financiranju jedinica lokalne i područne (regionalne) samouprave (Narodne novine, br. 127/17., 138/20., 151/22. i 114/23.), u Državnom proračunu Republike Hrvatske za 2024. godinu i projekcijama za 2025. i 2026. godinu (Narodne novine, br. 149/23. i 125/24.) osigurana su sredstva fiskalnog izravnanja za one jedinice lokalne i područne (regionalne) samouprave koje na to imaju pravo, a temeljem članka 32. Zakona o izvršavanju Državnog proračuna Republike Hrvatske za 2024. godinu (Narodne novine, br. 149/23. i 125/24.) jedinicama lokalne i područne (regionalne) samouprave je tijekom 2024. isplaćena pomoć, na ime fiskalnog izravnanja, u iznosu od 265.445.617,00 eura.</w:t>
      </w:r>
    </w:p>
    <w:p w14:paraId="78C65609" w14:textId="77777777" w:rsidR="007C28B7" w:rsidRPr="007466EF" w:rsidRDefault="007C28B7" w:rsidP="007C28B7">
      <w:pPr>
        <w:pStyle w:val="StandardWeb"/>
        <w:shd w:val="clear" w:color="auto" w:fill="FFFFFF"/>
        <w:spacing w:before="0" w:beforeAutospacing="0" w:after="0" w:afterAutospacing="0"/>
        <w:jc w:val="both"/>
        <w:rPr>
          <w:color w:val="000000"/>
        </w:rPr>
      </w:pPr>
      <w:r w:rsidRPr="007466EF">
        <w:rPr>
          <w:color w:val="000000"/>
        </w:rPr>
        <w:t> </w:t>
      </w:r>
    </w:p>
    <w:p w14:paraId="3ACB7801" w14:textId="120EB0DF" w:rsidR="007C28B7" w:rsidRPr="007466EF" w:rsidRDefault="007C28B7" w:rsidP="007C28B7">
      <w:pPr>
        <w:pStyle w:val="StandardWeb"/>
        <w:shd w:val="clear" w:color="auto" w:fill="FFFFFF"/>
        <w:spacing w:before="0" w:beforeAutospacing="0" w:after="0" w:afterAutospacing="0"/>
        <w:jc w:val="both"/>
        <w:rPr>
          <w:color w:val="000000"/>
        </w:rPr>
      </w:pPr>
      <w:r w:rsidRPr="007466EF">
        <w:rPr>
          <w:color w:val="000000"/>
        </w:rPr>
        <w:t>Sukladno članku 33. Zakona o izvršavanju Državnog proračuna Republike Hrvatske za 2024. godinu, u Državnom proračunu Republike Hrvatske za 2024. godinu i projekcijama za 2025. i 2026. godinu osigurana su sredstva pomoći na ime poticaja za dobrovoljno funkcionalno odnosno stvarno spajanje jedinica lokalne samouprave. Za ovu namjenu, jedinicama lokalne samouprave tijekom 2024. isplaćena je pomoć u iznosu od 3.195.777,30 eura.</w:t>
      </w:r>
      <w:r w:rsidR="003526EB" w:rsidRPr="007466EF">
        <w:rPr>
          <w:color w:val="000000"/>
        </w:rPr>
        <w:t xml:space="preserve"> </w:t>
      </w:r>
      <w:r w:rsidRPr="007466EF">
        <w:rPr>
          <w:color w:val="000000"/>
        </w:rPr>
        <w:t>Slijedom navedenoga, jedinicama lokalne i područne (regionalne) samouprave je u 2024. iz državnog proračuna (A818069 Fiskalno izravnanje jedinica lokalne i područne (regionalne) samouprave i A767071 Poticaji za dobrovoljno funkcionalno ili stvarno spajanje jedinica lokalne samouprave) isplaćena pomoć u ukupnom iznosu od 268.641.394,30 eura.</w:t>
      </w:r>
    </w:p>
    <w:p w14:paraId="58A40F89" w14:textId="28F4E146" w:rsidR="00DB3FC1" w:rsidRPr="007466EF" w:rsidRDefault="00DB3FC1" w:rsidP="007C28B7">
      <w:pPr>
        <w:pStyle w:val="StandardWeb"/>
        <w:shd w:val="clear" w:color="auto" w:fill="FFFFFF"/>
        <w:spacing w:before="0" w:beforeAutospacing="0" w:after="0" w:afterAutospacing="0"/>
        <w:jc w:val="both"/>
        <w:rPr>
          <w:color w:val="000000"/>
        </w:rPr>
      </w:pPr>
    </w:p>
    <w:p w14:paraId="32BE05FE" w14:textId="697E39D2" w:rsidR="00DB3FC1" w:rsidRPr="007466EF" w:rsidRDefault="00DB3FC1" w:rsidP="00DB3FC1">
      <w:pPr>
        <w:shd w:val="clear" w:color="auto" w:fill="FFFFFF"/>
        <w:jc w:val="both"/>
        <w:rPr>
          <w:color w:val="000000"/>
        </w:rPr>
      </w:pPr>
      <w:r w:rsidRPr="007466EF">
        <w:rPr>
          <w:color w:val="000000"/>
        </w:rPr>
        <w:t>Na povećanje rashoda za tekuće pomoći u 2024. utjecala su i Rješenja Vlade Republike Hrvatske o odobrenju sredstava na teret Proračunske zalihe Državnog proračuna Re</w:t>
      </w:r>
      <w:r w:rsidR="000F0D22" w:rsidRPr="007466EF">
        <w:rPr>
          <w:color w:val="000000"/>
        </w:rPr>
        <w:t>publike Hrvatske za 2024.</w:t>
      </w:r>
      <w:r w:rsidR="00D415B5" w:rsidRPr="007466EF">
        <w:rPr>
          <w:color w:val="000000"/>
        </w:rPr>
        <w:t>, i to:</w:t>
      </w:r>
    </w:p>
    <w:p w14:paraId="64F5F2D0" w14:textId="0B98069B" w:rsidR="00DB3FC1" w:rsidRPr="007466EF" w:rsidRDefault="00DB3FC1" w:rsidP="00D415B5">
      <w:pPr>
        <w:pStyle w:val="Odlomakpopisa"/>
        <w:numPr>
          <w:ilvl w:val="0"/>
          <w:numId w:val="17"/>
        </w:numPr>
        <w:shd w:val="clear" w:color="auto" w:fill="FFFFFF"/>
        <w:jc w:val="both"/>
        <w:rPr>
          <w:color w:val="000000"/>
        </w:rPr>
      </w:pPr>
      <w:r w:rsidRPr="007466EF">
        <w:rPr>
          <w:color w:val="000000"/>
        </w:rPr>
        <w:t xml:space="preserve">na sjednici </w:t>
      </w:r>
      <w:r w:rsidR="00D415B5" w:rsidRPr="007466EF">
        <w:rPr>
          <w:color w:val="000000"/>
        </w:rPr>
        <w:t>održanoj 25. srpnja 2024. doneseno je r</w:t>
      </w:r>
      <w:r w:rsidRPr="007466EF">
        <w:rPr>
          <w:color w:val="000000"/>
        </w:rPr>
        <w:t>ješenje </w:t>
      </w:r>
      <w:r w:rsidR="00D415B5" w:rsidRPr="007466EF">
        <w:rPr>
          <w:color w:val="000000"/>
        </w:rPr>
        <w:t>(</w:t>
      </w:r>
      <w:r w:rsidRPr="007466EF">
        <w:rPr>
          <w:color w:val="000000"/>
        </w:rPr>
        <w:t>KLASA: 400-06/24-02/01, URBROJ: 50301-05/31-24-2</w:t>
      </w:r>
      <w:r w:rsidR="00D415B5" w:rsidRPr="007466EF">
        <w:rPr>
          <w:color w:val="000000"/>
        </w:rPr>
        <w:t xml:space="preserve">) kojim je </w:t>
      </w:r>
      <w:r w:rsidRPr="007466EF">
        <w:rPr>
          <w:color w:val="000000"/>
        </w:rPr>
        <w:t>Općini Bošnjaci </w:t>
      </w:r>
      <w:r w:rsidR="00D415B5" w:rsidRPr="007466EF">
        <w:rPr>
          <w:color w:val="000000"/>
        </w:rPr>
        <w:t xml:space="preserve">odobren </w:t>
      </w:r>
      <w:r w:rsidRPr="007466EF">
        <w:rPr>
          <w:color w:val="000000"/>
        </w:rPr>
        <w:t>iznos od 5.000.000,00 eura za hitnu sanaciju štete na stambenim objektima nužnima za život te ostalim objektima oštećenim uslijed nevremena praćenog tučom 1. srpnja 2024., a odobreni iznos sredstava isplaćen je Općini Bošnjaci dana 6. kolovoza 2024. i</w:t>
      </w:r>
    </w:p>
    <w:p w14:paraId="4A70F94B" w14:textId="75AB283A" w:rsidR="00DB3FC1" w:rsidRPr="007466EF" w:rsidRDefault="00DB3FC1" w:rsidP="00DB3FC1">
      <w:pPr>
        <w:pStyle w:val="Odlomakpopisa"/>
        <w:numPr>
          <w:ilvl w:val="0"/>
          <w:numId w:val="17"/>
        </w:numPr>
        <w:shd w:val="clear" w:color="auto" w:fill="FFFFFF"/>
        <w:jc w:val="both"/>
        <w:rPr>
          <w:color w:val="000000"/>
        </w:rPr>
      </w:pPr>
      <w:r w:rsidRPr="007466EF">
        <w:rPr>
          <w:color w:val="000000"/>
        </w:rPr>
        <w:t xml:space="preserve">na sjednici održanoj 24. listopada 2024. </w:t>
      </w:r>
      <w:r w:rsidR="00D415B5" w:rsidRPr="007466EF">
        <w:rPr>
          <w:color w:val="000000"/>
        </w:rPr>
        <w:t>doneseno je rješenje (</w:t>
      </w:r>
      <w:r w:rsidRPr="007466EF">
        <w:rPr>
          <w:color w:val="000000"/>
        </w:rPr>
        <w:t>KLASA: 400-06/24-02/02, URBROJ: 50301-05/16-24-2</w:t>
      </w:r>
      <w:r w:rsidR="00D415B5" w:rsidRPr="007466EF">
        <w:rPr>
          <w:color w:val="000000"/>
        </w:rPr>
        <w:t>)</w:t>
      </w:r>
      <w:r w:rsidRPr="007466EF">
        <w:rPr>
          <w:color w:val="000000"/>
        </w:rPr>
        <w:t> </w:t>
      </w:r>
      <w:r w:rsidR="00D415B5" w:rsidRPr="007466EF">
        <w:rPr>
          <w:color w:val="000000"/>
        </w:rPr>
        <w:t>kojim je</w:t>
      </w:r>
      <w:r w:rsidRPr="007466EF">
        <w:rPr>
          <w:color w:val="000000"/>
        </w:rPr>
        <w:t xml:space="preserve"> Splitsko-dalmatinskoj županiji </w:t>
      </w:r>
      <w:r w:rsidR="00D415B5" w:rsidRPr="007466EF">
        <w:rPr>
          <w:color w:val="000000"/>
        </w:rPr>
        <w:t xml:space="preserve">odobren </w:t>
      </w:r>
      <w:r w:rsidRPr="007466EF">
        <w:rPr>
          <w:color w:val="000000"/>
        </w:rPr>
        <w:t xml:space="preserve">iznos od 3.194.279,00 eura za hitnu sanaciju štete na stambenim objektima nužnima za život te javnoj imovini i javnoj infrastrukturi oštećenoj uslijed poplave 5. listopada 2024. na području Općine </w:t>
      </w:r>
      <w:proofErr w:type="spellStart"/>
      <w:r w:rsidRPr="007466EF">
        <w:rPr>
          <w:color w:val="000000"/>
        </w:rPr>
        <w:t>Podgora</w:t>
      </w:r>
      <w:proofErr w:type="spellEnd"/>
      <w:r w:rsidRPr="007466EF">
        <w:rPr>
          <w:color w:val="000000"/>
        </w:rPr>
        <w:t>, a odobreni iznos sredstava isplaćen je Splitsko-dalmatinskoj županiji dana 29. studenoga 2024.</w:t>
      </w:r>
    </w:p>
    <w:p w14:paraId="3756BAE2" w14:textId="3E8E4DC4" w:rsidR="00864F97" w:rsidRPr="007466EF" w:rsidRDefault="00864F97" w:rsidP="00864F97">
      <w:pPr>
        <w:shd w:val="clear" w:color="auto" w:fill="FFFFFF"/>
        <w:jc w:val="both"/>
        <w:rPr>
          <w:color w:val="000000"/>
        </w:rPr>
      </w:pPr>
    </w:p>
    <w:p w14:paraId="154C45AC" w14:textId="3AC1BDF3" w:rsidR="00864F97" w:rsidRPr="007466EF" w:rsidRDefault="00E10467" w:rsidP="00864F97">
      <w:pPr>
        <w:pStyle w:val="Naslov"/>
        <w:keepNext/>
        <w:rPr>
          <w:b w:val="0"/>
          <w:bCs w:val="0"/>
        </w:rPr>
      </w:pPr>
      <w:r w:rsidRPr="007466EF">
        <w:rPr>
          <w:b w:val="0"/>
          <w:bCs w:val="0"/>
        </w:rPr>
        <w:lastRenderedPageBreak/>
        <w:t>Bilješka 36</w:t>
      </w:r>
      <w:r w:rsidR="00864F97" w:rsidRPr="007466EF">
        <w:rPr>
          <w:b w:val="0"/>
          <w:bCs w:val="0"/>
        </w:rPr>
        <w:t>.</w:t>
      </w:r>
    </w:p>
    <w:p w14:paraId="2A199B99" w14:textId="77777777" w:rsidR="00864F97" w:rsidRPr="007466EF" w:rsidRDefault="00864F97" w:rsidP="00864F97">
      <w:pPr>
        <w:pStyle w:val="Naslov"/>
        <w:keepNext/>
        <w:rPr>
          <w:b w:val="0"/>
          <w:bCs w:val="0"/>
        </w:rPr>
      </w:pPr>
      <w:r w:rsidRPr="007466EF">
        <w:rPr>
          <w:b w:val="0"/>
          <w:bCs w:val="0"/>
        </w:rPr>
        <w:t>Šifra 3635 Pomoći unutar općeg proračuna po protestiranim jamstvima</w:t>
      </w:r>
    </w:p>
    <w:p w14:paraId="6F527F73" w14:textId="6F9A2B60" w:rsidR="00864F97" w:rsidRPr="007466EF" w:rsidRDefault="008F6B8F" w:rsidP="00864F97">
      <w:pPr>
        <w:jc w:val="both"/>
        <w:rPr>
          <w:color w:val="000000"/>
        </w:rPr>
      </w:pPr>
      <w:r w:rsidRPr="007466EF">
        <w:rPr>
          <w:color w:val="000000"/>
        </w:rPr>
        <w:t xml:space="preserve">Pomoći unutar općeg proračuna po protestiranim jamstvima </w:t>
      </w:r>
      <w:r w:rsidR="00024422">
        <w:t>ostvarene</w:t>
      </w:r>
      <w:r w:rsidRPr="007466EF">
        <w:t xml:space="preserve"> su u iznosu od </w:t>
      </w:r>
      <w:r w:rsidRPr="007466EF">
        <w:rPr>
          <w:color w:val="000000"/>
        </w:rPr>
        <w:t xml:space="preserve">26.014.552,13 </w:t>
      </w:r>
      <w:r w:rsidRPr="007466EF">
        <w:t xml:space="preserve">eura dok su u istom razdoblju 2023. </w:t>
      </w:r>
      <w:r w:rsidR="00024422">
        <w:t>ostvarene</w:t>
      </w:r>
      <w:r w:rsidRPr="007466EF">
        <w:t xml:space="preserve"> u iznosu od 20.373.595,81 eura, što predstavlja povećanje od 27,7% u promatranom razdoblju, </w:t>
      </w:r>
      <w:r w:rsidR="00864F97" w:rsidRPr="007466EF">
        <w:rPr>
          <w:color w:val="000000"/>
        </w:rPr>
        <w:t>a odnose se na plaćanja po izdanim i protestiranim jamstvima danima društvu HŽ</w:t>
      </w:r>
      <w:r w:rsidRPr="007466EF">
        <w:rPr>
          <w:color w:val="000000"/>
        </w:rPr>
        <w:t xml:space="preserve"> Infrastruktura d.o.o.</w:t>
      </w:r>
    </w:p>
    <w:p w14:paraId="4AF047FA" w14:textId="77777777" w:rsidR="00864F97" w:rsidRPr="007466EF" w:rsidRDefault="00864F97" w:rsidP="00864F97">
      <w:pPr>
        <w:jc w:val="both"/>
        <w:rPr>
          <w:color w:val="000000"/>
        </w:rPr>
      </w:pPr>
    </w:p>
    <w:p w14:paraId="7F061C8E" w14:textId="548EAFC9" w:rsidR="00864F97" w:rsidRPr="007466EF" w:rsidRDefault="00E10467" w:rsidP="00864F97">
      <w:pPr>
        <w:pStyle w:val="Naslov"/>
        <w:keepNext/>
        <w:rPr>
          <w:b w:val="0"/>
          <w:bCs w:val="0"/>
        </w:rPr>
      </w:pPr>
      <w:r w:rsidRPr="007466EF">
        <w:rPr>
          <w:b w:val="0"/>
          <w:bCs w:val="0"/>
        </w:rPr>
        <w:t>Bilješka 37</w:t>
      </w:r>
      <w:r w:rsidR="00864F97" w:rsidRPr="007466EF">
        <w:rPr>
          <w:b w:val="0"/>
          <w:bCs w:val="0"/>
        </w:rPr>
        <w:t>.</w:t>
      </w:r>
    </w:p>
    <w:p w14:paraId="25342029" w14:textId="77777777" w:rsidR="00A34AB1" w:rsidRPr="007466EF" w:rsidRDefault="00A34AB1" w:rsidP="00A34AB1">
      <w:pPr>
        <w:pStyle w:val="Naslov"/>
        <w:keepNext/>
        <w:rPr>
          <w:b w:val="0"/>
          <w:bCs w:val="0"/>
        </w:rPr>
      </w:pPr>
      <w:r w:rsidRPr="007466EF">
        <w:rPr>
          <w:b w:val="0"/>
          <w:bCs w:val="0"/>
        </w:rPr>
        <w:t>Šifra 367 Prijenosi proračunskim korisnicima iz nadležnog proračuna za financiranje redovne djelatnosti</w:t>
      </w:r>
    </w:p>
    <w:p w14:paraId="5BC27D2A" w14:textId="217C8A9B" w:rsidR="00A34AB1" w:rsidRPr="007466EF" w:rsidRDefault="00A34AB1" w:rsidP="00A34AB1">
      <w:pPr>
        <w:pStyle w:val="Naslov"/>
        <w:keepNext/>
        <w:jc w:val="both"/>
        <w:rPr>
          <w:b w:val="0"/>
          <w:bCs w:val="0"/>
          <w:sz w:val="24"/>
        </w:rPr>
      </w:pPr>
      <w:r w:rsidRPr="007466EF">
        <w:rPr>
          <w:b w:val="0"/>
          <w:bCs w:val="0"/>
          <w:sz w:val="24"/>
        </w:rPr>
        <w:t>Rashodi za redovnu djelatnost proračunskih korisnika koji se financiraju iz proračuna iskazuju se u okviru podskupine 367</w:t>
      </w:r>
      <w:r w:rsidRPr="007466EF">
        <w:t xml:space="preserve"> </w:t>
      </w:r>
      <w:r w:rsidRPr="007466EF">
        <w:rPr>
          <w:b w:val="0"/>
          <w:bCs w:val="0"/>
          <w:i/>
          <w:sz w:val="24"/>
        </w:rPr>
        <w:t>Prijenosi proračunskim korisnicima iz nadležnog proračuna za financiranje redovne djelatnosti</w:t>
      </w:r>
      <w:r w:rsidRPr="007466EF">
        <w:rPr>
          <w:b w:val="0"/>
          <w:bCs w:val="0"/>
          <w:sz w:val="24"/>
        </w:rPr>
        <w:t>. Rashodi za</w:t>
      </w:r>
      <w:r w:rsidRPr="007466EF">
        <w:t xml:space="preserve"> </w:t>
      </w:r>
      <w:r w:rsidRPr="007466EF">
        <w:rPr>
          <w:b w:val="0"/>
          <w:bCs w:val="0"/>
          <w:sz w:val="24"/>
        </w:rPr>
        <w:t xml:space="preserve">prijenose proračunskim korisnicima iz nadležnog proračuna za financiranje redovne djelatnosti u 2024. ostvareni su u iznosu od </w:t>
      </w:r>
      <w:r w:rsidR="00E10467" w:rsidRPr="007466EF">
        <w:rPr>
          <w:b w:val="0"/>
          <w:bCs w:val="0"/>
          <w:sz w:val="24"/>
        </w:rPr>
        <w:t>19.133.856.834,73</w:t>
      </w:r>
      <w:r w:rsidRPr="007466EF">
        <w:rPr>
          <w:b w:val="0"/>
          <w:bCs w:val="0"/>
          <w:sz w:val="24"/>
        </w:rPr>
        <w:t xml:space="preserve"> eura i za </w:t>
      </w:r>
      <w:r w:rsidR="00E10467" w:rsidRPr="007466EF">
        <w:rPr>
          <w:b w:val="0"/>
          <w:bCs w:val="0"/>
          <w:sz w:val="24"/>
        </w:rPr>
        <w:t>19</w:t>
      </w:r>
      <w:r w:rsidRPr="007466EF">
        <w:rPr>
          <w:b w:val="0"/>
          <w:bCs w:val="0"/>
          <w:sz w:val="24"/>
        </w:rPr>
        <w:t xml:space="preserve">,6% su veći u odnosu na realizirane rashode u 2023. </w:t>
      </w:r>
    </w:p>
    <w:p w14:paraId="4F489DE8" w14:textId="77777777" w:rsidR="00A34AB1" w:rsidRPr="007466EF" w:rsidRDefault="00A34AB1" w:rsidP="00A34AB1">
      <w:pPr>
        <w:pStyle w:val="Naslov"/>
        <w:keepNext/>
        <w:jc w:val="both"/>
        <w:rPr>
          <w:b w:val="0"/>
          <w:bCs w:val="0"/>
          <w:sz w:val="24"/>
        </w:rPr>
      </w:pPr>
    </w:p>
    <w:p w14:paraId="2FDEAB78" w14:textId="61CE1FD7" w:rsidR="00A34AB1" w:rsidRPr="007466EF" w:rsidRDefault="00A34AB1" w:rsidP="00A34AB1">
      <w:pPr>
        <w:pStyle w:val="Naslov"/>
        <w:keepNext/>
        <w:jc w:val="both"/>
        <w:rPr>
          <w:b w:val="0"/>
          <w:bCs w:val="0"/>
          <w:sz w:val="24"/>
        </w:rPr>
      </w:pPr>
      <w:r w:rsidRPr="007466EF">
        <w:rPr>
          <w:b w:val="0"/>
          <w:bCs w:val="0"/>
          <w:sz w:val="24"/>
        </w:rPr>
        <w:t xml:space="preserve">U okviru rashoda za prijenose proračunskim korisnicima iz nadležnog proračuna za financiranje rashoda poslovanja u 2024. ostvareno je za </w:t>
      </w:r>
      <w:r w:rsidR="00E10467" w:rsidRPr="007466EF">
        <w:rPr>
          <w:b w:val="0"/>
          <w:bCs w:val="0"/>
          <w:sz w:val="24"/>
        </w:rPr>
        <w:t>3.230.610.935,26</w:t>
      </w:r>
      <w:r w:rsidRPr="007466EF">
        <w:rPr>
          <w:b w:val="0"/>
          <w:bCs w:val="0"/>
          <w:sz w:val="24"/>
        </w:rPr>
        <w:t xml:space="preserve"> eura više rashoda u odnosu na ostvarene rashode u 2023. Na značajno povećanje rashoda u promatranom razdoblju utjecali su rashodi za subvenciju u okviru  energetskih mjera Vlade Republike Hrvatske i povećanje troškova plaća, usklađenje mirovina i mirovinskih prava te  prava u socijalnoj skrbi.</w:t>
      </w:r>
    </w:p>
    <w:p w14:paraId="0C64DA70" w14:textId="77777777" w:rsidR="00A34AB1" w:rsidRPr="007466EF" w:rsidRDefault="00A34AB1" w:rsidP="00A34AB1">
      <w:pPr>
        <w:pStyle w:val="Naslov"/>
        <w:keepNext/>
        <w:jc w:val="both"/>
        <w:rPr>
          <w:b w:val="0"/>
          <w:bCs w:val="0"/>
          <w:sz w:val="24"/>
        </w:rPr>
      </w:pPr>
    </w:p>
    <w:p w14:paraId="76CC5013" w14:textId="3082FA93" w:rsidR="00864F97" w:rsidRPr="007466EF" w:rsidRDefault="00A34AB1" w:rsidP="008F6B8F">
      <w:pPr>
        <w:pStyle w:val="Naslov"/>
        <w:keepNext/>
        <w:jc w:val="both"/>
        <w:rPr>
          <w:b w:val="0"/>
          <w:bCs w:val="0"/>
          <w:sz w:val="24"/>
        </w:rPr>
      </w:pPr>
      <w:r w:rsidRPr="007466EF">
        <w:rPr>
          <w:b w:val="0"/>
          <w:bCs w:val="0"/>
          <w:sz w:val="24"/>
        </w:rPr>
        <w:t xml:space="preserve">U okviru rashoda za prijenose proračunskim korisnicima iz nadležnog proračuna za nabavu nefinancijske imovine u 2024. ostvareno je za </w:t>
      </w:r>
      <w:r w:rsidR="00E10467" w:rsidRPr="007466EF">
        <w:rPr>
          <w:b w:val="0"/>
          <w:bCs w:val="0"/>
          <w:sz w:val="24"/>
        </w:rPr>
        <w:t>308.473.624,5</w:t>
      </w:r>
      <w:r w:rsidRPr="007466EF">
        <w:rPr>
          <w:b w:val="0"/>
          <w:bCs w:val="0"/>
          <w:sz w:val="24"/>
        </w:rPr>
        <w:t xml:space="preserve"> eura više rashoda u odnosu na ostvarene rashode u 2023. Na povećanje rashoda u promatranom razdoblju utjecali su rashodi za dodatna ulaganja na građevinskim objektima te rashodi za nabavu proizvedene dugotrajne imovine.</w:t>
      </w:r>
    </w:p>
    <w:p w14:paraId="2A29133C" w14:textId="3C8191E5" w:rsidR="00A34AB1" w:rsidRPr="007466EF" w:rsidRDefault="00A34AB1" w:rsidP="007466EF">
      <w:pPr>
        <w:jc w:val="both"/>
        <w:rPr>
          <w:color w:val="000000"/>
        </w:rPr>
      </w:pPr>
    </w:p>
    <w:p w14:paraId="1728CEE2" w14:textId="357764C2" w:rsidR="00864F97" w:rsidRPr="007466EF" w:rsidRDefault="005F47C8" w:rsidP="00864F97">
      <w:pPr>
        <w:pStyle w:val="Naslov"/>
        <w:keepNext/>
        <w:rPr>
          <w:b w:val="0"/>
          <w:bCs w:val="0"/>
        </w:rPr>
      </w:pPr>
      <w:r w:rsidRPr="007466EF">
        <w:rPr>
          <w:b w:val="0"/>
          <w:bCs w:val="0"/>
        </w:rPr>
        <w:t xml:space="preserve">Bilješka </w:t>
      </w:r>
      <w:r w:rsidR="00E10467" w:rsidRPr="007466EF">
        <w:rPr>
          <w:b w:val="0"/>
          <w:bCs w:val="0"/>
        </w:rPr>
        <w:t>38</w:t>
      </w:r>
      <w:r w:rsidR="00864F97" w:rsidRPr="007466EF">
        <w:rPr>
          <w:b w:val="0"/>
          <w:bCs w:val="0"/>
        </w:rPr>
        <w:t>.</w:t>
      </w:r>
    </w:p>
    <w:p w14:paraId="13956FD3" w14:textId="77777777" w:rsidR="00864F97" w:rsidRPr="007466EF" w:rsidRDefault="00864F97" w:rsidP="00864F97">
      <w:pPr>
        <w:jc w:val="center"/>
        <w:rPr>
          <w:sz w:val="28"/>
          <w:szCs w:val="28"/>
        </w:rPr>
      </w:pPr>
      <w:r w:rsidRPr="007466EF">
        <w:rPr>
          <w:sz w:val="28"/>
          <w:szCs w:val="28"/>
        </w:rPr>
        <w:t>Šifra 3721 Naknade građanima i kućanstvima u novcu</w:t>
      </w:r>
    </w:p>
    <w:p w14:paraId="66EF9C36" w14:textId="6FE85DA2" w:rsidR="00864F97" w:rsidRPr="007466EF" w:rsidRDefault="00864F97" w:rsidP="00864F97">
      <w:pPr>
        <w:jc w:val="both"/>
      </w:pPr>
      <w:r w:rsidRPr="007466EF">
        <w:t xml:space="preserve">Rashodi za naknade građanima i kućanstvima u novcu </w:t>
      </w:r>
      <w:r w:rsidR="00E10467" w:rsidRPr="007466EF">
        <w:t>ostvareni</w:t>
      </w:r>
      <w:r w:rsidRPr="007466EF">
        <w:t xml:space="preserve"> su u 202</w:t>
      </w:r>
      <w:r w:rsidR="005F47C8" w:rsidRPr="007466EF">
        <w:t>4.</w:t>
      </w:r>
      <w:r w:rsidRPr="007466EF">
        <w:t xml:space="preserve"> u iznosu od </w:t>
      </w:r>
      <w:r w:rsidR="005F47C8" w:rsidRPr="007466EF">
        <w:t>14.387.121,83 eura</w:t>
      </w:r>
      <w:r w:rsidRPr="007466EF">
        <w:t xml:space="preserve">, dok su u </w:t>
      </w:r>
      <w:r w:rsidR="0084616F" w:rsidRPr="007466EF">
        <w:t>2023.</w:t>
      </w:r>
      <w:r w:rsidRPr="007466EF">
        <w:t xml:space="preserve"> </w:t>
      </w:r>
      <w:r w:rsidR="00024422">
        <w:t>ostvareni</w:t>
      </w:r>
      <w:r w:rsidRPr="007466EF">
        <w:t xml:space="preserve"> u iznosu od </w:t>
      </w:r>
      <w:r w:rsidR="005F47C8" w:rsidRPr="007466EF">
        <w:t xml:space="preserve">13.602.132,51 </w:t>
      </w:r>
      <w:r w:rsidRPr="007466EF">
        <w:t>eura</w:t>
      </w:r>
      <w:r w:rsidR="008F6B8F" w:rsidRPr="007466EF">
        <w:t xml:space="preserve"> što predstavlja povećanje od 5,8% u promatranom razdoblju</w:t>
      </w:r>
      <w:r w:rsidRPr="007466EF">
        <w:t>. Ovi rashodi odnose se na državna poticajna sredstva za stambenu štednju sukladno Zakonu o stambenoj štednji i državnom poticanju stambene štednje (Narodne novine, broj 109/97</w:t>
      </w:r>
      <w:r w:rsidR="005F47C8" w:rsidRPr="007466EF">
        <w:t>.</w:t>
      </w:r>
      <w:r w:rsidRPr="007466EF">
        <w:t>, 117/97</w:t>
      </w:r>
      <w:r w:rsidR="005F47C8" w:rsidRPr="007466EF">
        <w:t>.</w:t>
      </w:r>
      <w:r w:rsidRPr="007466EF">
        <w:t>, 76/99</w:t>
      </w:r>
      <w:r w:rsidR="005F47C8" w:rsidRPr="007466EF">
        <w:t>.</w:t>
      </w:r>
      <w:r w:rsidRPr="007466EF">
        <w:t>, 10/01</w:t>
      </w:r>
      <w:r w:rsidR="005F47C8" w:rsidRPr="007466EF">
        <w:t>.</w:t>
      </w:r>
      <w:r w:rsidRPr="007466EF">
        <w:t>, 92/05</w:t>
      </w:r>
      <w:r w:rsidR="005F47C8" w:rsidRPr="007466EF">
        <w:t>.</w:t>
      </w:r>
      <w:r w:rsidRPr="007466EF">
        <w:t>, 21/10</w:t>
      </w:r>
      <w:r w:rsidR="005F47C8" w:rsidRPr="007466EF">
        <w:t>.</w:t>
      </w:r>
      <w:r w:rsidRPr="007466EF">
        <w:t>, 15/13</w:t>
      </w:r>
      <w:r w:rsidR="005F47C8" w:rsidRPr="007466EF">
        <w:t>.</w:t>
      </w:r>
      <w:r w:rsidRPr="007466EF">
        <w:t>, 139/13</w:t>
      </w:r>
      <w:r w:rsidR="005F47C8" w:rsidRPr="007466EF">
        <w:t>.</w:t>
      </w:r>
      <w:r w:rsidRPr="007466EF">
        <w:t>, 151/14</w:t>
      </w:r>
      <w:r w:rsidR="005F47C8" w:rsidRPr="007466EF">
        <w:t>.</w:t>
      </w:r>
      <w:r w:rsidRPr="007466EF">
        <w:t xml:space="preserve"> i 110/15</w:t>
      </w:r>
      <w:r w:rsidR="005F47C8" w:rsidRPr="007466EF">
        <w:t>.</w:t>
      </w:r>
      <w:r w:rsidRPr="007466EF">
        <w:t>).</w:t>
      </w:r>
    </w:p>
    <w:p w14:paraId="4B44E9EF" w14:textId="5EFBB8A4" w:rsidR="005F47C8" w:rsidRPr="007466EF" w:rsidRDefault="005F47C8" w:rsidP="00864F97">
      <w:pPr>
        <w:jc w:val="both"/>
        <w:rPr>
          <w:color w:val="000000"/>
        </w:rPr>
      </w:pPr>
    </w:p>
    <w:p w14:paraId="1148A40E" w14:textId="615550F9" w:rsidR="00864F97" w:rsidRPr="007466EF" w:rsidRDefault="00E10467" w:rsidP="00864F97">
      <w:pPr>
        <w:pStyle w:val="Naslov"/>
        <w:keepNext/>
        <w:rPr>
          <w:b w:val="0"/>
          <w:bCs w:val="0"/>
        </w:rPr>
      </w:pPr>
      <w:r w:rsidRPr="007466EF">
        <w:rPr>
          <w:b w:val="0"/>
          <w:bCs w:val="0"/>
        </w:rPr>
        <w:t>Bilješka 39</w:t>
      </w:r>
      <w:r w:rsidR="00864F97" w:rsidRPr="007466EF">
        <w:rPr>
          <w:b w:val="0"/>
          <w:bCs w:val="0"/>
        </w:rPr>
        <w:t>.</w:t>
      </w:r>
    </w:p>
    <w:p w14:paraId="2ACA57CC" w14:textId="77777777" w:rsidR="00864F97" w:rsidRPr="007466EF" w:rsidRDefault="00864F97" w:rsidP="00864F97">
      <w:pPr>
        <w:pStyle w:val="Naslov"/>
        <w:keepNext/>
        <w:rPr>
          <w:color w:val="000000"/>
        </w:rPr>
      </w:pPr>
      <w:r w:rsidRPr="007466EF">
        <w:rPr>
          <w:b w:val="0"/>
          <w:bCs w:val="0"/>
        </w:rPr>
        <w:t>Šifra 3865 Kapitalne pomoći trgovačkim društvima i obrtnicima po protestiranim jamstvima</w:t>
      </w:r>
    </w:p>
    <w:p w14:paraId="1258D865" w14:textId="00C07635" w:rsidR="007A5EA2" w:rsidRPr="007466EF" w:rsidRDefault="007A5EA2" w:rsidP="007A5EA2">
      <w:pPr>
        <w:shd w:val="clear" w:color="auto" w:fill="FFFFFF"/>
        <w:jc w:val="both"/>
        <w:rPr>
          <w:color w:val="000000"/>
        </w:rPr>
      </w:pPr>
      <w:r w:rsidRPr="007466EF">
        <w:rPr>
          <w:color w:val="000000"/>
        </w:rPr>
        <w:t xml:space="preserve">Rashodi za kapitalne pomoći trgovačkim društvima i obrtnicima po protestiranim jamstvima </w:t>
      </w:r>
      <w:r w:rsidR="000F0658" w:rsidRPr="007466EF">
        <w:rPr>
          <w:color w:val="000000"/>
        </w:rPr>
        <w:t xml:space="preserve">u </w:t>
      </w:r>
      <w:r w:rsidRPr="007466EF">
        <w:rPr>
          <w:color w:val="000000"/>
        </w:rPr>
        <w:t xml:space="preserve">2024. </w:t>
      </w:r>
      <w:r w:rsidR="00024422">
        <w:rPr>
          <w:color w:val="000000"/>
        </w:rPr>
        <w:t>ostvareni</w:t>
      </w:r>
      <w:r w:rsidR="006C337B" w:rsidRPr="007466EF">
        <w:rPr>
          <w:color w:val="000000"/>
        </w:rPr>
        <w:t xml:space="preserve"> </w:t>
      </w:r>
      <w:r w:rsidRPr="007466EF">
        <w:rPr>
          <w:color w:val="000000"/>
        </w:rPr>
        <w:t xml:space="preserve">su u iznosu od </w:t>
      </w:r>
      <w:r w:rsidR="000F0658" w:rsidRPr="007466EF">
        <w:rPr>
          <w:color w:val="000000"/>
        </w:rPr>
        <w:t>2.241.695,53</w:t>
      </w:r>
      <w:r w:rsidRPr="007466EF">
        <w:rPr>
          <w:color w:val="000000"/>
        </w:rPr>
        <w:t xml:space="preserve"> eura</w:t>
      </w:r>
      <w:r w:rsidR="0084616F" w:rsidRPr="007466EF">
        <w:rPr>
          <w:color w:val="000000"/>
        </w:rPr>
        <w:t xml:space="preserve">, dok su u 2023. </w:t>
      </w:r>
      <w:r w:rsidR="00024422">
        <w:rPr>
          <w:color w:val="000000"/>
        </w:rPr>
        <w:t>ostvareni</w:t>
      </w:r>
      <w:r w:rsidR="0084616F" w:rsidRPr="007466EF">
        <w:rPr>
          <w:color w:val="000000"/>
        </w:rPr>
        <w:t xml:space="preserve"> u iznosu od</w:t>
      </w:r>
      <w:r w:rsidRPr="007466EF">
        <w:rPr>
          <w:color w:val="000000"/>
        </w:rPr>
        <w:t xml:space="preserve"> </w:t>
      </w:r>
      <w:r w:rsidR="000F0658" w:rsidRPr="007466EF">
        <w:rPr>
          <w:color w:val="000000"/>
        </w:rPr>
        <w:t>825.468,55</w:t>
      </w:r>
      <w:r w:rsidR="006C337B" w:rsidRPr="007466EF">
        <w:rPr>
          <w:color w:val="000000"/>
        </w:rPr>
        <w:t xml:space="preserve"> eura</w:t>
      </w:r>
      <w:r w:rsidRPr="007466EF">
        <w:rPr>
          <w:color w:val="000000"/>
        </w:rPr>
        <w:t xml:space="preserve"> št</w:t>
      </w:r>
      <w:r w:rsidR="000F0658" w:rsidRPr="007466EF">
        <w:rPr>
          <w:color w:val="000000"/>
        </w:rPr>
        <w:t>o predstavlja povećanje od 171,6</w:t>
      </w:r>
      <w:r w:rsidRPr="007466EF">
        <w:rPr>
          <w:color w:val="000000"/>
        </w:rPr>
        <w:t>% u promatranom razdoblju.</w:t>
      </w:r>
    </w:p>
    <w:p w14:paraId="7572585B" w14:textId="77777777" w:rsidR="007A5EA2" w:rsidRPr="007466EF" w:rsidRDefault="007A5EA2" w:rsidP="007A5EA2">
      <w:pPr>
        <w:shd w:val="clear" w:color="auto" w:fill="FFFFFF"/>
        <w:jc w:val="both"/>
        <w:rPr>
          <w:color w:val="000000"/>
        </w:rPr>
      </w:pPr>
    </w:p>
    <w:p w14:paraId="3EB487B4" w14:textId="23229B8A" w:rsidR="007A5EA2" w:rsidRPr="007466EF" w:rsidRDefault="007A5EA2" w:rsidP="007A5EA2">
      <w:pPr>
        <w:shd w:val="clear" w:color="auto" w:fill="FFFFFF"/>
        <w:jc w:val="both"/>
        <w:rPr>
          <w:color w:val="000000" w:themeColor="text1"/>
        </w:rPr>
      </w:pPr>
      <w:r w:rsidRPr="007466EF">
        <w:rPr>
          <w:color w:val="000000" w:themeColor="text1"/>
        </w:rPr>
        <w:t xml:space="preserve">Republika Hrvatska je s Europskom investicijskom bankom (EIB) sklopila „Sporazum o jamstvu na prvi poziv između prvotnih jamaca i jamaca pristupnika koji pristupaju s vremena na vrijeme“ te „Sporazum o doprinosu vezano uz Paneuropski jamstveni fond kao odgovor na COVID-19“ (EGF). Nastavno na navedeno, iznos od </w:t>
      </w:r>
      <w:r w:rsidR="000F0658" w:rsidRPr="007466EF">
        <w:rPr>
          <w:color w:val="000000" w:themeColor="text1"/>
        </w:rPr>
        <w:t>1.471.575,23</w:t>
      </w:r>
      <w:r w:rsidRPr="007466EF">
        <w:rPr>
          <w:color w:val="000000" w:themeColor="text1"/>
        </w:rPr>
        <w:t xml:space="preserve"> eura odnosi se na izmirenje obveza po osnovi aktiviranog jamstva vezanog uz Paneuropski jamstveni fond.</w:t>
      </w:r>
    </w:p>
    <w:p w14:paraId="2EC6ECEB" w14:textId="77777777" w:rsidR="007A5EA2" w:rsidRPr="007466EF" w:rsidRDefault="007A5EA2" w:rsidP="007A5EA2">
      <w:pPr>
        <w:shd w:val="clear" w:color="auto" w:fill="FFFFFF"/>
        <w:jc w:val="both"/>
        <w:rPr>
          <w:color w:val="000000" w:themeColor="text1"/>
        </w:rPr>
      </w:pPr>
    </w:p>
    <w:p w14:paraId="5BA2D44B" w14:textId="7F55565D" w:rsidR="007A5EA2" w:rsidRPr="007466EF" w:rsidRDefault="007A5EA2" w:rsidP="00864F97">
      <w:pPr>
        <w:shd w:val="clear" w:color="auto" w:fill="FFFFFF"/>
        <w:jc w:val="both"/>
        <w:rPr>
          <w:color w:val="000000" w:themeColor="text1"/>
        </w:rPr>
      </w:pPr>
      <w:r w:rsidRPr="007466EF">
        <w:rPr>
          <w:color w:val="000000" w:themeColor="text1"/>
        </w:rPr>
        <w:t>Sukladno Sporazumu o uređenju međusobnih odnosa od 28. lipnja 2024., a koji je sklopljen između Ministarstva financija i Privredne banke Zagreb izmirena je obveza društva Uljanik d.d. u stečaju na ime zateznih kamata u iznosu od 770.120,30 eura.</w:t>
      </w:r>
    </w:p>
    <w:p w14:paraId="5E8AEAA6" w14:textId="77777777" w:rsidR="007A5EA2" w:rsidRPr="007466EF" w:rsidRDefault="007A5EA2" w:rsidP="007466EF">
      <w:pPr>
        <w:jc w:val="both"/>
        <w:rPr>
          <w:color w:val="000000"/>
        </w:rPr>
      </w:pPr>
    </w:p>
    <w:p w14:paraId="692B5D32" w14:textId="6984BD87" w:rsidR="00864F97" w:rsidRPr="007466EF" w:rsidRDefault="00620B1F" w:rsidP="00864F97">
      <w:pPr>
        <w:pStyle w:val="Naslov"/>
        <w:keepNext/>
        <w:rPr>
          <w:b w:val="0"/>
          <w:bCs w:val="0"/>
        </w:rPr>
      </w:pPr>
      <w:r w:rsidRPr="007466EF">
        <w:rPr>
          <w:b w:val="0"/>
          <w:bCs w:val="0"/>
        </w:rPr>
        <w:t xml:space="preserve">Bilješka </w:t>
      </w:r>
      <w:r w:rsidR="00E10467" w:rsidRPr="007466EF">
        <w:rPr>
          <w:b w:val="0"/>
          <w:bCs w:val="0"/>
        </w:rPr>
        <w:t>40</w:t>
      </w:r>
      <w:r w:rsidR="00864F97" w:rsidRPr="007466EF">
        <w:rPr>
          <w:b w:val="0"/>
          <w:bCs w:val="0"/>
        </w:rPr>
        <w:t>.</w:t>
      </w:r>
    </w:p>
    <w:p w14:paraId="421A1901" w14:textId="1219EC1E" w:rsidR="00620B1F" w:rsidRPr="007466EF" w:rsidRDefault="00620B1F" w:rsidP="00620B1F">
      <w:pPr>
        <w:pStyle w:val="Naslov"/>
        <w:keepNext/>
        <w:rPr>
          <w:b w:val="0"/>
          <w:bCs w:val="0"/>
          <w:szCs w:val="28"/>
        </w:rPr>
      </w:pPr>
      <w:r w:rsidRPr="007466EF">
        <w:rPr>
          <w:b w:val="0"/>
          <w:bCs w:val="0"/>
          <w:szCs w:val="28"/>
        </w:rPr>
        <w:t>Šifra 7227 Uređaji, strojevi i oprema za ostale namjene</w:t>
      </w:r>
    </w:p>
    <w:p w14:paraId="32269975" w14:textId="3B8A7E74" w:rsidR="0084616F" w:rsidRPr="007466EF" w:rsidRDefault="0084616F" w:rsidP="0084616F">
      <w:pPr>
        <w:shd w:val="clear" w:color="auto" w:fill="FFFFFF"/>
        <w:jc w:val="both"/>
        <w:rPr>
          <w:color w:val="000000"/>
        </w:rPr>
      </w:pPr>
      <w:r w:rsidRPr="007466EF">
        <w:rPr>
          <w:color w:val="000000"/>
        </w:rPr>
        <w:t>Prihodi s osnove prodaje uređaja, strojeva i opreme za ostale namjene u 2024. ostvareni su u iznosu od 114.043.938,94 eura, dok su u 2023. ostvareni u iznosu od 38,40 eura što predstavlja značajno odstupanje u promatranom razdoblju.</w:t>
      </w:r>
    </w:p>
    <w:p w14:paraId="4B21F9AA" w14:textId="7173BA35" w:rsidR="0084616F" w:rsidRPr="007466EF" w:rsidRDefault="0084616F" w:rsidP="0084616F">
      <w:pPr>
        <w:shd w:val="clear" w:color="auto" w:fill="FFFFFF"/>
        <w:jc w:val="both"/>
        <w:rPr>
          <w:color w:val="000000"/>
        </w:rPr>
      </w:pPr>
    </w:p>
    <w:p w14:paraId="44D754AB" w14:textId="1B36A441" w:rsidR="0084616F" w:rsidRPr="007466EF" w:rsidRDefault="0084616F" w:rsidP="0084616F">
      <w:pPr>
        <w:shd w:val="clear" w:color="auto" w:fill="FFFFFF"/>
        <w:jc w:val="both"/>
      </w:pPr>
      <w:r w:rsidRPr="007466EF">
        <w:rPr>
          <w:color w:val="000000"/>
        </w:rPr>
        <w:t xml:space="preserve">Vlada Republike Hrvatske je 27. prosinca 2024. donijela </w:t>
      </w:r>
      <w:r w:rsidRPr="007466EF">
        <w:t>Odluku o davanju prethodne suglasnosti za sklapanje ugovora o međusobnom prijeboju između Republike Hrvatske i društva Hrvatske elektroprivrede d.d.</w:t>
      </w:r>
      <w:r w:rsidRPr="007466EF">
        <w:rPr>
          <w:i/>
        </w:rPr>
        <w:t xml:space="preserve"> </w:t>
      </w:r>
      <w:r w:rsidRPr="007466EF">
        <w:t>(KLASA: 022-03/24-04/514, URBROJ: 50301-05/31-24-6)</w:t>
      </w:r>
      <w:r w:rsidRPr="007466EF">
        <w:rPr>
          <w:i/>
        </w:rPr>
        <w:t xml:space="preserve"> </w:t>
      </w:r>
      <w:r w:rsidRPr="007466EF">
        <w:t>kojom je dana suglasnost za sklapanje ugovora o međusobnom prijeboju između Republike  Hrvatske  i društva  Hrvatska elektroprivreda d.d., a kojim se prebijaju međusobna potraživanja i obveze.</w:t>
      </w:r>
    </w:p>
    <w:p w14:paraId="573A5D90" w14:textId="77777777" w:rsidR="009B5E55" w:rsidRPr="007466EF" w:rsidRDefault="009B5E55" w:rsidP="009B5E55">
      <w:pPr>
        <w:jc w:val="both"/>
        <w:rPr>
          <w:bCs/>
        </w:rPr>
      </w:pPr>
      <w:r w:rsidRPr="007466EF">
        <w:rPr>
          <w:bCs/>
        </w:rPr>
        <w:t>Predmet ugovora o međusobnom prijeboju potraživanja i obveza jesu obveze društva HEP d.d. prema Republici Hrvatskoj, Ministarstvu gospodarstva u iznosu od 120.450.000,00 USD (preračunato u euro po srednjem tečaju Hrvatske narodne banke na dan provedbe kompenzacije što iznosi 114.040.901,34 eura) s osnove klirinškog duga temeljem:</w:t>
      </w:r>
    </w:p>
    <w:p w14:paraId="75243A25" w14:textId="77777777" w:rsidR="009B5E55" w:rsidRPr="007466EF" w:rsidRDefault="009B5E55" w:rsidP="009B5E55">
      <w:pPr>
        <w:pStyle w:val="Odlomakpopisa"/>
        <w:numPr>
          <w:ilvl w:val="0"/>
          <w:numId w:val="16"/>
        </w:numPr>
        <w:jc w:val="both"/>
      </w:pPr>
      <w:r w:rsidRPr="007466EF">
        <w:rPr>
          <w:bCs/>
          <w:i/>
        </w:rPr>
        <w:t>Sporazuma između Vlade Republike Hrvatske i Vlade Ruske Federacije o reguliranju obveza bivšeg SSSR-a po obračunima vezanim uz robnu razmjenu između bivšeg SSSR-a i bivše SFRJ</w:t>
      </w:r>
      <w:r w:rsidRPr="007466EF">
        <w:rPr>
          <w:bCs/>
        </w:rPr>
        <w:t xml:space="preserve"> („Narodne novine – Međunarodni ugovori“, broj 7/07.), </w:t>
      </w:r>
    </w:p>
    <w:p w14:paraId="09D79FAC" w14:textId="77777777" w:rsidR="009B5E55" w:rsidRPr="007466EF" w:rsidRDefault="009B5E55" w:rsidP="009B5E55">
      <w:pPr>
        <w:pStyle w:val="Odlomakpopisa"/>
        <w:numPr>
          <w:ilvl w:val="0"/>
          <w:numId w:val="16"/>
        </w:numPr>
        <w:jc w:val="both"/>
      </w:pPr>
      <w:r w:rsidRPr="007466EF">
        <w:rPr>
          <w:bCs/>
          <w:i/>
        </w:rPr>
        <w:t>Ugovora broj 25/101/07 između TEHNOPROMEXPORTA i HEP Proizvodnje d.o.o. od 17. rujna 2007. godine za isporuku energetskog otoka Bloka C Termoelektrane Sisak</w:t>
      </w:r>
      <w:r w:rsidRPr="007466EF">
        <w:rPr>
          <w:bCs/>
        </w:rPr>
        <w:t xml:space="preserve"> u vrijednosti od USD 105.000.000,00 te </w:t>
      </w:r>
    </w:p>
    <w:p w14:paraId="30153146" w14:textId="77777777" w:rsidR="009B5E55" w:rsidRPr="007466EF" w:rsidRDefault="009B5E55" w:rsidP="009B5E55">
      <w:pPr>
        <w:pStyle w:val="Odlomakpopisa"/>
        <w:numPr>
          <w:ilvl w:val="0"/>
          <w:numId w:val="16"/>
        </w:numPr>
        <w:jc w:val="both"/>
      </w:pPr>
      <w:r w:rsidRPr="007466EF">
        <w:rPr>
          <w:bCs/>
          <w:i/>
        </w:rPr>
        <w:t xml:space="preserve">dodatku V Ugovoru između TEHNOPROMEXPORTA i HEP Proizvodnje d.o.o. od 14.04.2011. kojim se regulira plaćanje iz kliringa USD 15.450.000,00, </w:t>
      </w:r>
    </w:p>
    <w:p w14:paraId="38100F37" w14:textId="77777777" w:rsidR="009B5E55" w:rsidRPr="007466EF" w:rsidRDefault="009B5E55" w:rsidP="009B5E55">
      <w:pPr>
        <w:jc w:val="both"/>
        <w:rPr>
          <w:bCs/>
        </w:rPr>
      </w:pPr>
      <w:r w:rsidRPr="007466EF">
        <w:rPr>
          <w:bCs/>
        </w:rPr>
        <w:t>koje se prebijaju s obvezama koje Republika Hrvatska, Ministarstvo gospodarstva ima prema društvu HEP d.d. u iznosu od 114.040.901,34 eura</w:t>
      </w:r>
      <w:r w:rsidRPr="007466EF">
        <w:rPr>
          <w:bCs/>
          <w:i/>
        </w:rPr>
        <w:t xml:space="preserve"> </w:t>
      </w:r>
      <w:r w:rsidRPr="007466EF">
        <w:rPr>
          <w:bCs/>
        </w:rPr>
        <w:t>s osnove nadoknada razlike za toplinsku energiju</w:t>
      </w:r>
      <w:r w:rsidRPr="007466EF">
        <w:rPr>
          <w:bCs/>
          <w:i/>
        </w:rPr>
        <w:t xml:space="preserve"> temeljem Uredbe o otklanjanju poremećaja na domaćem tržištu energije</w:t>
      </w:r>
      <w:r w:rsidRPr="007466EF">
        <w:rPr>
          <w:bCs/>
        </w:rPr>
        <w:t xml:space="preserve"> (Narodne novine, br. 104/22, 106/22, 121/22 i 156/22) i </w:t>
      </w:r>
      <w:r w:rsidRPr="007466EF">
        <w:rPr>
          <w:bCs/>
          <w:i/>
        </w:rPr>
        <w:t>Uredbe o otklanjanju poremećaja na domaćem tržištu energije</w:t>
      </w:r>
      <w:r w:rsidRPr="007466EF">
        <w:rPr>
          <w:bCs/>
        </w:rPr>
        <w:t xml:space="preserve"> (</w:t>
      </w:r>
      <w:bookmarkStart w:id="2" w:name="_Hlk185506958"/>
      <w:r w:rsidRPr="007466EF">
        <w:rPr>
          <w:bCs/>
        </w:rPr>
        <w:t xml:space="preserve">Narodne novine, br.  </w:t>
      </w:r>
      <w:bookmarkEnd w:id="2"/>
      <w:r w:rsidRPr="007466EF">
        <w:rPr>
          <w:bCs/>
        </w:rPr>
        <w:t>31/23., 74/23., 107/23., 122/23., 32/24, 104/24 i 132/24), a sve u skladu sa sklopljenim Ugovorom o ustupanju potraživanja (Ugovor o cesiji) između društva HEP d.d. i društva HEP - Toplinarstvo d.o.o.</w:t>
      </w:r>
    </w:p>
    <w:p w14:paraId="54F26825" w14:textId="77777777" w:rsidR="009B5E55" w:rsidRPr="007466EF" w:rsidRDefault="009B5E55" w:rsidP="009B5E55">
      <w:pPr>
        <w:tabs>
          <w:tab w:val="left" w:pos="-540"/>
        </w:tabs>
        <w:jc w:val="both"/>
        <w:rPr>
          <w:color w:val="000000"/>
        </w:rPr>
      </w:pPr>
    </w:p>
    <w:p w14:paraId="691D3A33" w14:textId="6E9A0CDF" w:rsidR="009B5E55" w:rsidRPr="007466EF" w:rsidRDefault="009B5E55" w:rsidP="009B5E55">
      <w:pPr>
        <w:tabs>
          <w:tab w:val="left" w:pos="-540"/>
        </w:tabs>
        <w:jc w:val="both"/>
      </w:pPr>
      <w:r w:rsidRPr="007466EF">
        <w:t xml:space="preserve">U svrhu provedbe članka 3. stavka 4. Sporazuma između Vlade Republike Hrvatske i Vlade Ruske Federacije o reguliranju obveza bivšeg SSSR-a po obračunima vezanim uz robnu razmjenu između bivšeg SSSR-a i bivše SFRJ, 29. prosinca 2006. potpisan je Protokol između Ministarstva financija Republike Hrvatske i Ministarstva financija Ruske Federacije, Ministarstva gospodarskog razvitka i trgovine Ruske Federacije o utvrđivanju popisa roba i usluga koje će se isporučiti na račun podmirivanja duga Ruske Federacije prema Republici Hrvatskoj, među kojima je navedena i oprema za izgradnju termoelektrana u Republici Hrvatskoj (TE Sisak) – izgradnja  bloka „C“ TE Sisak, u iznosu od USD 120.450.000,00. </w:t>
      </w:r>
    </w:p>
    <w:p w14:paraId="6B3191BB" w14:textId="1F14FDB6" w:rsidR="009B5E55" w:rsidRPr="007466EF" w:rsidRDefault="009B5E55" w:rsidP="009B5E55">
      <w:pPr>
        <w:spacing w:before="240"/>
        <w:jc w:val="both"/>
      </w:pPr>
      <w:r w:rsidRPr="007466EF">
        <w:t xml:space="preserve">Odlukama Vlade Republike Hrvatske iz 2004. i 2005. ustanovljeno je da će se sredstva iz klirinškog duga, među ostalim, koristiti za nabavku oprema za modernizaciju termoelektrana Sisak i Osijek. </w:t>
      </w:r>
      <w:r w:rsidRPr="007466EF">
        <w:rPr>
          <w:bCs/>
        </w:rPr>
        <w:t xml:space="preserve">HEP d.d. </w:t>
      </w:r>
      <w:r w:rsidRPr="007466EF">
        <w:t xml:space="preserve">kroz svoje povezano društvo HEP Proizvodnju d.o.o. korisnik je klirinškog duga temeljem Ugovora broj 25/101/07 između TEHNOPROMEXPORTA i HEP </w:t>
      </w:r>
      <w:r w:rsidRPr="007466EF">
        <w:lastRenderedPageBreak/>
        <w:t xml:space="preserve">Proizvodnje </w:t>
      </w:r>
      <w:r w:rsidR="000F0D22" w:rsidRPr="007466EF">
        <w:t>d.o.o. od 17. rujna 2007.</w:t>
      </w:r>
      <w:r w:rsidRPr="007466EF">
        <w:t xml:space="preserve"> za isporuku energetskog otoka Bloka C Termoelektrane Sisak u vrijednosti od USD 105.000.000,00 te dodatku V Ugovoru između TEHNOPROMEXPORTA i HEP Proizvodnje d.o.o. od 14.04.2011. kojim se regulira plaćanje iz kliringa USD 15.450.000,00, odnosno ukupn</w:t>
      </w:r>
      <w:r w:rsidR="00024422">
        <w:t>og iznosa od USD 120.450.000,00</w:t>
      </w:r>
      <w:r w:rsidRPr="007466EF">
        <w:t>.</w:t>
      </w:r>
    </w:p>
    <w:p w14:paraId="67B097A3" w14:textId="0615F5BD" w:rsidR="009B5E55" w:rsidRDefault="009B5E55" w:rsidP="009B5E55">
      <w:pPr>
        <w:jc w:val="both"/>
        <w:rPr>
          <w:bCs/>
        </w:rPr>
      </w:pPr>
      <w:r w:rsidRPr="007466EF">
        <w:rPr>
          <w:bCs/>
        </w:rPr>
        <w:t>Kako je navedeno u Odluci, Republika Hrvatska, Ministarstvo gospodarstva duguje društvu HEP d.d. iznos od 114.040.901,34 EUR</w:t>
      </w:r>
      <w:r w:rsidRPr="007466EF">
        <w:t xml:space="preserve"> </w:t>
      </w:r>
      <w:r w:rsidRPr="007466EF">
        <w:rPr>
          <w:bCs/>
        </w:rPr>
        <w:t>s osnove nadoknada razlike za toplinsku energiju temeljem Uredbe o otklanjanju poremećaja na domaćem tržištu energije („Narodne novine”, br. 104/22., 106/22., 121/22. i 156/22.) za razdoblje od 1.10.2022. do 31.9.2023. te</w:t>
      </w:r>
      <w:r w:rsidRPr="007466EF">
        <w:t xml:space="preserve"> </w:t>
      </w:r>
      <w:r w:rsidRPr="007466EF">
        <w:rPr>
          <w:bCs/>
        </w:rPr>
        <w:t>Uredbe o otklanjanju poremećaja na domaćem tržištu („Narodne novine”, br. 31/23., 74/23., 107/23., 122/23., 32/24., 104/24. i 132/24.), a sve u skladu sa sklopljenim Ugovorom o ustupu potraživanja između HEP d.d. i HEP-Toplinarstvo d.o.o.</w:t>
      </w:r>
    </w:p>
    <w:p w14:paraId="138106FD" w14:textId="6BF89540" w:rsidR="00024422" w:rsidRDefault="00024422" w:rsidP="009B5E55">
      <w:pPr>
        <w:jc w:val="both"/>
        <w:rPr>
          <w:bCs/>
        </w:rPr>
      </w:pPr>
    </w:p>
    <w:p w14:paraId="3A8299A8" w14:textId="7FFE9BBE" w:rsidR="00024422" w:rsidRPr="007466EF" w:rsidRDefault="00024422" w:rsidP="009B5E55">
      <w:pPr>
        <w:jc w:val="both"/>
        <w:rPr>
          <w:bCs/>
        </w:rPr>
      </w:pPr>
      <w:r>
        <w:rPr>
          <w:bCs/>
        </w:rPr>
        <w:t>Slijedom navedenog izvršen je prijeboj međusobnih obveza i potraživanja u ukupnom iznosu od 114.040.901,34 eura.</w:t>
      </w:r>
    </w:p>
    <w:p w14:paraId="3B2FAEF3" w14:textId="12D6FA15" w:rsidR="00864F97" w:rsidRPr="007466EF" w:rsidRDefault="00864F97" w:rsidP="007466EF">
      <w:pPr>
        <w:jc w:val="both"/>
        <w:rPr>
          <w:color w:val="000000"/>
        </w:rPr>
      </w:pPr>
    </w:p>
    <w:p w14:paraId="496AA8C7" w14:textId="21CD541B" w:rsidR="00864F97" w:rsidRPr="007466EF" w:rsidRDefault="00620B1F" w:rsidP="00864F97">
      <w:pPr>
        <w:pStyle w:val="Naslov"/>
        <w:keepNext/>
        <w:rPr>
          <w:b w:val="0"/>
          <w:bCs w:val="0"/>
        </w:rPr>
      </w:pPr>
      <w:r w:rsidRPr="007466EF">
        <w:rPr>
          <w:b w:val="0"/>
          <w:bCs w:val="0"/>
        </w:rPr>
        <w:t xml:space="preserve">Bilješka </w:t>
      </w:r>
      <w:r w:rsidR="00E06C00" w:rsidRPr="007466EF">
        <w:rPr>
          <w:b w:val="0"/>
          <w:bCs w:val="0"/>
        </w:rPr>
        <w:t>41</w:t>
      </w:r>
      <w:r w:rsidR="00864F97" w:rsidRPr="007466EF">
        <w:rPr>
          <w:b w:val="0"/>
          <w:bCs w:val="0"/>
        </w:rPr>
        <w:t>.</w:t>
      </w:r>
    </w:p>
    <w:p w14:paraId="1BD9B9AE" w14:textId="77777777" w:rsidR="00864F97" w:rsidRPr="007466EF" w:rsidRDefault="00864F97" w:rsidP="00864F97">
      <w:pPr>
        <w:pStyle w:val="Naslov"/>
        <w:keepNext/>
        <w:rPr>
          <w:b w:val="0"/>
          <w:bCs w:val="0"/>
        </w:rPr>
      </w:pPr>
      <w:r w:rsidRPr="007466EF">
        <w:rPr>
          <w:b w:val="0"/>
          <w:bCs w:val="0"/>
        </w:rPr>
        <w:t>Šifra 741 Prihodi od prodaje zaliha</w:t>
      </w:r>
    </w:p>
    <w:p w14:paraId="0AB50475" w14:textId="3039BDEC" w:rsidR="00864F97" w:rsidRPr="007466EF" w:rsidRDefault="00864F97" w:rsidP="00864F97">
      <w:pPr>
        <w:jc w:val="both"/>
      </w:pPr>
      <w:r w:rsidRPr="007466EF">
        <w:t xml:space="preserve">Iznos od </w:t>
      </w:r>
      <w:r w:rsidR="00620B1F" w:rsidRPr="007466EF">
        <w:t>460.955,42</w:t>
      </w:r>
      <w:r w:rsidRPr="007466EF">
        <w:t xml:space="preserve"> eura evidentiran u okviru ovog prihoda </w:t>
      </w:r>
      <w:r w:rsidR="000F0D22" w:rsidRPr="007466EF">
        <w:t xml:space="preserve">u 2024. </w:t>
      </w:r>
      <w:r w:rsidRPr="007466EF">
        <w:t>odnosi se na prodaju neperspektivne vojne opreme. Detalji poslovnog događaja klasificirani su podaci sukladno Zakonu o tajnosti podataka kojim se uređuje pojam klasificiranih i neklasificiranih podataka.</w:t>
      </w:r>
    </w:p>
    <w:p w14:paraId="5D78B17A" w14:textId="77777777" w:rsidR="00864F97" w:rsidRPr="007466EF" w:rsidRDefault="00864F97" w:rsidP="007466EF">
      <w:pPr>
        <w:jc w:val="both"/>
        <w:rPr>
          <w:color w:val="000000"/>
        </w:rPr>
      </w:pPr>
    </w:p>
    <w:p w14:paraId="7A3D7F44" w14:textId="0A46B605" w:rsidR="00864F97" w:rsidRPr="007466EF" w:rsidRDefault="00FC0D58" w:rsidP="00864F97">
      <w:pPr>
        <w:pStyle w:val="Naslov"/>
        <w:keepNext/>
        <w:rPr>
          <w:b w:val="0"/>
          <w:bCs w:val="0"/>
        </w:rPr>
      </w:pPr>
      <w:r w:rsidRPr="007466EF">
        <w:rPr>
          <w:b w:val="0"/>
          <w:bCs w:val="0"/>
        </w:rPr>
        <w:t xml:space="preserve">Bilješka </w:t>
      </w:r>
      <w:r w:rsidR="00E06C00" w:rsidRPr="007466EF">
        <w:rPr>
          <w:b w:val="0"/>
          <w:bCs w:val="0"/>
        </w:rPr>
        <w:t>42</w:t>
      </w:r>
      <w:r w:rsidR="00864F97" w:rsidRPr="007466EF">
        <w:rPr>
          <w:b w:val="0"/>
          <w:bCs w:val="0"/>
        </w:rPr>
        <w:t>.</w:t>
      </w:r>
    </w:p>
    <w:p w14:paraId="24484DC3" w14:textId="77777777" w:rsidR="00864F97" w:rsidRPr="007466EF" w:rsidRDefault="00864F97" w:rsidP="00864F97">
      <w:pPr>
        <w:pStyle w:val="Naslov"/>
        <w:keepNext/>
        <w:rPr>
          <w:b w:val="0"/>
          <w:bCs w:val="0"/>
        </w:rPr>
      </w:pPr>
      <w:r w:rsidRPr="007466EF">
        <w:rPr>
          <w:b w:val="0"/>
          <w:bCs w:val="0"/>
        </w:rPr>
        <w:t xml:space="preserve">Šifra 4212 Poslovni objekti </w:t>
      </w:r>
    </w:p>
    <w:p w14:paraId="6BEDF428" w14:textId="0C136ADE" w:rsidR="00C5435E" w:rsidRPr="007466EF" w:rsidRDefault="00C5435E" w:rsidP="00C5435E">
      <w:pPr>
        <w:shd w:val="clear" w:color="auto" w:fill="FFFFFF"/>
        <w:jc w:val="both"/>
        <w:rPr>
          <w:color w:val="000000"/>
        </w:rPr>
      </w:pPr>
      <w:r w:rsidRPr="007466EF">
        <w:rPr>
          <w:color w:val="000000"/>
        </w:rPr>
        <w:t xml:space="preserve">Rashodi za nabavu poslovnih objekata u 2024. </w:t>
      </w:r>
      <w:r w:rsidR="00024422">
        <w:rPr>
          <w:color w:val="000000"/>
        </w:rPr>
        <w:t>ostvareni</w:t>
      </w:r>
      <w:r w:rsidRPr="007466EF">
        <w:rPr>
          <w:color w:val="000000"/>
        </w:rPr>
        <w:t xml:space="preserve"> su u izn</w:t>
      </w:r>
      <w:r w:rsidR="00E06C00" w:rsidRPr="007466EF">
        <w:rPr>
          <w:color w:val="000000"/>
        </w:rPr>
        <w:t xml:space="preserve">osu od 1.377.250,00 eura, dok </w:t>
      </w:r>
      <w:r w:rsidRPr="007466EF">
        <w:rPr>
          <w:color w:val="000000"/>
        </w:rPr>
        <w:t xml:space="preserve"> u 2023</w:t>
      </w:r>
      <w:r w:rsidRPr="007466EF">
        <w:t xml:space="preserve">. nije bilo </w:t>
      </w:r>
      <w:r w:rsidR="00024422">
        <w:t>ostvarenih</w:t>
      </w:r>
      <w:r w:rsidRPr="007466EF">
        <w:t xml:space="preserve"> rashoda s navedene osnove što predstavlja stopostotno povećanje kroz promatrano razdoblje.</w:t>
      </w:r>
    </w:p>
    <w:p w14:paraId="2926067C" w14:textId="400FC6B4" w:rsidR="00FC0D58" w:rsidRPr="007466EF" w:rsidRDefault="00FC0D58" w:rsidP="00FC0D58">
      <w:pPr>
        <w:pStyle w:val="Naslov"/>
        <w:keepNext/>
        <w:jc w:val="left"/>
        <w:rPr>
          <w:b w:val="0"/>
          <w:bCs w:val="0"/>
          <w:sz w:val="24"/>
        </w:rPr>
      </w:pPr>
    </w:p>
    <w:p w14:paraId="0CC62DBD" w14:textId="4C3868EB" w:rsidR="00C5435E" w:rsidRPr="007466EF" w:rsidRDefault="00C5435E" w:rsidP="00C5435E">
      <w:pPr>
        <w:pStyle w:val="xmsonormal"/>
        <w:shd w:val="clear" w:color="auto" w:fill="FFFFFF"/>
        <w:spacing w:before="0" w:beforeAutospacing="0" w:after="0" w:afterAutospacing="0"/>
        <w:jc w:val="both"/>
        <w:rPr>
          <w:color w:val="212121"/>
        </w:rPr>
      </w:pPr>
      <w:r w:rsidRPr="007466EF">
        <w:rPr>
          <w:color w:val="212121"/>
        </w:rPr>
        <w:t>Radi osiguranja novčane tražbine iz Ugovora o kreditu broj: G-FZ-05/03, skloplje</w:t>
      </w:r>
      <w:r w:rsidR="000F0D22" w:rsidRPr="007466EF">
        <w:rPr>
          <w:color w:val="212121"/>
        </w:rPr>
        <w:t>nog dana 14. srpnja 2003.</w:t>
      </w:r>
      <w:r w:rsidRPr="007466EF">
        <w:rPr>
          <w:color w:val="212121"/>
        </w:rPr>
        <w:t xml:space="preserve"> između HBOR-a (u ime i za račun Fonda za razvoj i zapošljavanje, Zagreb) i društva SMS d.o.o., Split (kao korisnika kredita), sklopljen je I Dodatak Sporazumu o prijenosu vlasništva radi osiguranja novčane tražbine, temeljem kojeg je zasnovano založno pravo u korist Fonda za razvoj i zapošljavanje na nekretninama u vlasništvu društva SMS d.o.o., upisanim kod Općinskog suda u Splitu, Zemljišnoknjižni odjel Sinj, k.o. Košute, </w:t>
      </w:r>
      <w:proofErr w:type="spellStart"/>
      <w:r w:rsidRPr="007466EF">
        <w:rPr>
          <w:color w:val="212121"/>
        </w:rPr>
        <w:t>zk.ul</w:t>
      </w:r>
      <w:proofErr w:type="spellEnd"/>
      <w:r w:rsidRPr="007466EF">
        <w:rPr>
          <w:color w:val="212121"/>
        </w:rPr>
        <w:t xml:space="preserve">. 1851, k.č.br. 2070/12 - oranica od 91 m² i </w:t>
      </w:r>
      <w:proofErr w:type="spellStart"/>
      <w:r w:rsidRPr="007466EF">
        <w:rPr>
          <w:color w:val="212121"/>
        </w:rPr>
        <w:t>zk.ul</w:t>
      </w:r>
      <w:proofErr w:type="spellEnd"/>
      <w:r w:rsidRPr="007466EF">
        <w:rPr>
          <w:color w:val="212121"/>
        </w:rPr>
        <w:t>. 1901, k.č.br. 2070/6 – oranica 4791 m² i nova galanterija 2688 m² (prema elaboratu procjene tržišne vrijednosti predmetne nekretnine predstavljaju poslovnu građevinu i kotlovnicu u Trilju).</w:t>
      </w:r>
    </w:p>
    <w:p w14:paraId="29D56BA7" w14:textId="77777777" w:rsidR="00C5435E" w:rsidRPr="007466EF" w:rsidRDefault="00C5435E" w:rsidP="00C5435E">
      <w:pPr>
        <w:pStyle w:val="xmsonormal"/>
        <w:shd w:val="clear" w:color="auto" w:fill="FFFFFF"/>
        <w:spacing w:before="0" w:beforeAutospacing="0" w:after="0" w:afterAutospacing="0"/>
        <w:jc w:val="both"/>
        <w:rPr>
          <w:color w:val="212121"/>
        </w:rPr>
      </w:pPr>
      <w:r w:rsidRPr="007466EF">
        <w:rPr>
          <w:color w:val="212121"/>
        </w:rPr>
        <w:t> </w:t>
      </w:r>
    </w:p>
    <w:p w14:paraId="7B8F9DC9" w14:textId="77777777" w:rsidR="00C5435E" w:rsidRPr="007466EF" w:rsidRDefault="00C5435E" w:rsidP="00C5435E">
      <w:pPr>
        <w:pStyle w:val="xmsonormal"/>
        <w:shd w:val="clear" w:color="auto" w:fill="FFFFFF"/>
        <w:spacing w:before="0" w:beforeAutospacing="0" w:after="0" w:afterAutospacing="0"/>
        <w:jc w:val="both"/>
        <w:rPr>
          <w:color w:val="212121"/>
        </w:rPr>
      </w:pPr>
      <w:r w:rsidRPr="007466EF">
        <w:rPr>
          <w:color w:val="212121"/>
        </w:rPr>
        <w:t>U stečajnom postupku koji se vodi nad stečajnim dužnikom SMS d.o.o. u stečaju, za navedene nekretnine </w:t>
      </w:r>
      <w:r w:rsidRPr="007466EF">
        <w:rPr>
          <w:bCs/>
          <w:color w:val="212121"/>
        </w:rPr>
        <w:t>Ministarstvo financija je</w:t>
      </w:r>
      <w:r w:rsidRPr="007466EF">
        <w:rPr>
          <w:color w:val="212121"/>
        </w:rPr>
        <w:t xml:space="preserve">, kao slijednik bivšeg Fonda za razvoj i zapošljavanje, sukladno odredbama čl. 247. st. 7. Stečajnog zakona (Narodne Novine 71/15, 104/17), kao prvi </w:t>
      </w:r>
      <w:proofErr w:type="spellStart"/>
      <w:r w:rsidRPr="007466EF">
        <w:rPr>
          <w:color w:val="212121"/>
        </w:rPr>
        <w:t>razlučni</w:t>
      </w:r>
      <w:proofErr w:type="spellEnd"/>
      <w:r w:rsidRPr="007466EF">
        <w:rPr>
          <w:color w:val="212121"/>
        </w:rPr>
        <w:t xml:space="preserve"> vjerovnik u </w:t>
      </w:r>
      <w:proofErr w:type="spellStart"/>
      <w:r w:rsidRPr="007466EF">
        <w:rPr>
          <w:color w:val="212121"/>
        </w:rPr>
        <w:t>prednosnom</w:t>
      </w:r>
      <w:proofErr w:type="spellEnd"/>
      <w:r w:rsidRPr="007466EF">
        <w:rPr>
          <w:color w:val="212121"/>
        </w:rPr>
        <w:t xml:space="preserve"> redu </w:t>
      </w:r>
      <w:r w:rsidRPr="007466EF">
        <w:rPr>
          <w:bCs/>
          <w:color w:val="212121"/>
        </w:rPr>
        <w:t xml:space="preserve">izjavilo da koristi pravo prvokupa stavljanjem u prijeboj svoje tražbine s </w:t>
      </w:r>
      <w:proofErr w:type="spellStart"/>
      <w:r w:rsidRPr="007466EF">
        <w:rPr>
          <w:bCs/>
          <w:color w:val="212121"/>
        </w:rPr>
        <w:t>protutražbinom</w:t>
      </w:r>
      <w:proofErr w:type="spellEnd"/>
      <w:r w:rsidRPr="007466EF">
        <w:rPr>
          <w:bCs/>
          <w:color w:val="212121"/>
        </w:rPr>
        <w:t xml:space="preserve"> stečajnog dužnika po osnovi cijene u visini utvrđene vrijednosti nekretnine.</w:t>
      </w:r>
    </w:p>
    <w:p w14:paraId="4FA52A18" w14:textId="77777777" w:rsidR="00C5435E" w:rsidRPr="007466EF" w:rsidRDefault="00C5435E" w:rsidP="00C5435E">
      <w:pPr>
        <w:pStyle w:val="xmsonormal"/>
        <w:shd w:val="clear" w:color="auto" w:fill="FFFFFF"/>
        <w:spacing w:before="0" w:beforeAutospacing="0" w:after="0" w:afterAutospacing="0"/>
        <w:jc w:val="both"/>
        <w:rPr>
          <w:color w:val="212121"/>
        </w:rPr>
      </w:pPr>
      <w:r w:rsidRPr="007466EF">
        <w:rPr>
          <w:color w:val="212121"/>
        </w:rPr>
        <w:t> </w:t>
      </w:r>
    </w:p>
    <w:p w14:paraId="114261C9" w14:textId="7E259CFA" w:rsidR="00C5435E" w:rsidRPr="007466EF" w:rsidRDefault="00C5435E" w:rsidP="00C5435E">
      <w:pPr>
        <w:pStyle w:val="xmsonormal"/>
        <w:shd w:val="clear" w:color="auto" w:fill="FFFFFF"/>
        <w:spacing w:before="0" w:beforeAutospacing="0" w:after="0" w:afterAutospacing="0"/>
        <w:jc w:val="both"/>
        <w:rPr>
          <w:color w:val="212121"/>
        </w:rPr>
      </w:pPr>
      <w:r w:rsidRPr="007466EF">
        <w:rPr>
          <w:color w:val="212121"/>
        </w:rPr>
        <w:t>Trgovački sud u Splitu zaključkom broj: 7 st-48/20</w:t>
      </w:r>
      <w:r w:rsidR="000F0D22" w:rsidRPr="007466EF">
        <w:rPr>
          <w:color w:val="212121"/>
        </w:rPr>
        <w:t>09-660 od 1. ožujka 2024.</w:t>
      </w:r>
      <w:r w:rsidRPr="007466EF">
        <w:rPr>
          <w:color w:val="212121"/>
        </w:rPr>
        <w:t xml:space="preserve"> utvrđuje vrijednost nekretnina kč.br. 2070/6 i kč.br. 2070/12 kao cjeline te određuje prodaju istih elektroničkom javnom dražbom.</w:t>
      </w:r>
      <w:r w:rsidR="00215720" w:rsidRPr="007466EF">
        <w:rPr>
          <w:color w:val="212121"/>
        </w:rPr>
        <w:t xml:space="preserve"> </w:t>
      </w:r>
      <w:r w:rsidRPr="007466EF">
        <w:rPr>
          <w:color w:val="212121"/>
        </w:rPr>
        <w:t xml:space="preserve">Rješenjem Trgovačkog suda u Splitu </w:t>
      </w:r>
      <w:proofErr w:type="spellStart"/>
      <w:r w:rsidRPr="007466EF">
        <w:rPr>
          <w:color w:val="212121"/>
        </w:rPr>
        <w:t>posl</w:t>
      </w:r>
      <w:proofErr w:type="spellEnd"/>
      <w:r w:rsidRPr="007466EF">
        <w:rPr>
          <w:color w:val="212121"/>
        </w:rPr>
        <w:t>. br. St-48/20</w:t>
      </w:r>
      <w:r w:rsidR="000F0D22" w:rsidRPr="007466EF">
        <w:rPr>
          <w:color w:val="212121"/>
        </w:rPr>
        <w:t>09-737 od 6. lipnja 2024.</w:t>
      </w:r>
      <w:r w:rsidRPr="007466EF">
        <w:rPr>
          <w:color w:val="212121"/>
        </w:rPr>
        <w:t xml:space="preserve"> kupcu – </w:t>
      </w:r>
      <w:proofErr w:type="spellStart"/>
      <w:r w:rsidRPr="007466EF">
        <w:rPr>
          <w:color w:val="212121"/>
        </w:rPr>
        <w:t>razlučnom</w:t>
      </w:r>
      <w:proofErr w:type="spellEnd"/>
      <w:r w:rsidRPr="007466EF">
        <w:rPr>
          <w:color w:val="212121"/>
        </w:rPr>
        <w:t xml:space="preserve"> vjerovniku </w:t>
      </w:r>
      <w:r w:rsidRPr="007466EF">
        <w:rPr>
          <w:bCs/>
          <w:color w:val="212121"/>
        </w:rPr>
        <w:t xml:space="preserve">RH Ministarstvu financija </w:t>
      </w:r>
      <w:r w:rsidR="00024422">
        <w:rPr>
          <w:bCs/>
          <w:color w:val="212121"/>
        </w:rPr>
        <w:t>dosuđene su</w:t>
      </w:r>
      <w:r w:rsidRPr="007466EF">
        <w:rPr>
          <w:bCs/>
          <w:color w:val="212121"/>
        </w:rPr>
        <w:t xml:space="preserve"> navedene nekretnine za iznos od 1.377.250,00 eura</w:t>
      </w:r>
      <w:r w:rsidRPr="007466EF">
        <w:rPr>
          <w:color w:val="212121"/>
        </w:rPr>
        <w:t>.</w:t>
      </w:r>
    </w:p>
    <w:p w14:paraId="3846BCCF" w14:textId="77777777" w:rsidR="00C5435E" w:rsidRPr="007466EF" w:rsidRDefault="00C5435E" w:rsidP="007466EF">
      <w:pPr>
        <w:jc w:val="both"/>
        <w:rPr>
          <w:color w:val="000000"/>
        </w:rPr>
      </w:pPr>
    </w:p>
    <w:p w14:paraId="32D38F66" w14:textId="05096B42" w:rsidR="00FC0D58" w:rsidRPr="007466EF" w:rsidRDefault="00FC0D58" w:rsidP="00FC0D58">
      <w:pPr>
        <w:pStyle w:val="Naslov"/>
        <w:keepNext/>
        <w:rPr>
          <w:b w:val="0"/>
          <w:bCs w:val="0"/>
        </w:rPr>
      </w:pPr>
      <w:r w:rsidRPr="007466EF">
        <w:rPr>
          <w:b w:val="0"/>
          <w:bCs w:val="0"/>
        </w:rPr>
        <w:lastRenderedPageBreak/>
        <w:t xml:space="preserve">Bilješka </w:t>
      </w:r>
      <w:r w:rsidR="00E06C00" w:rsidRPr="007466EF">
        <w:rPr>
          <w:b w:val="0"/>
          <w:bCs w:val="0"/>
        </w:rPr>
        <w:t>43</w:t>
      </w:r>
      <w:r w:rsidRPr="007466EF">
        <w:rPr>
          <w:b w:val="0"/>
          <w:bCs w:val="0"/>
        </w:rPr>
        <w:t>.</w:t>
      </w:r>
    </w:p>
    <w:p w14:paraId="7931196A" w14:textId="0DFD74AD" w:rsidR="00FC0D58" w:rsidRPr="007466EF" w:rsidRDefault="00FC0D58" w:rsidP="00FC0D58">
      <w:pPr>
        <w:pStyle w:val="Naslov"/>
        <w:keepNext/>
        <w:rPr>
          <w:b w:val="0"/>
          <w:bCs w:val="0"/>
        </w:rPr>
      </w:pPr>
      <w:r w:rsidRPr="007466EF">
        <w:rPr>
          <w:b w:val="0"/>
          <w:bCs w:val="0"/>
        </w:rPr>
        <w:t xml:space="preserve">Šifra 4214 Ostali građevinski objekti </w:t>
      </w:r>
    </w:p>
    <w:p w14:paraId="21B48474" w14:textId="671E47FA" w:rsidR="00215720" w:rsidRPr="007466EF" w:rsidRDefault="00215720" w:rsidP="00215720">
      <w:pPr>
        <w:shd w:val="clear" w:color="auto" w:fill="FFFFFF"/>
        <w:jc w:val="both"/>
      </w:pPr>
      <w:r w:rsidRPr="007466EF">
        <w:rPr>
          <w:color w:val="000000"/>
        </w:rPr>
        <w:t xml:space="preserve">Rashodi za nabavu ostalih građevinskih objekata u 2024. </w:t>
      </w:r>
      <w:r w:rsidR="00E06C00" w:rsidRPr="007466EF">
        <w:rPr>
          <w:color w:val="000000"/>
        </w:rPr>
        <w:t xml:space="preserve">ostvareni </w:t>
      </w:r>
      <w:r w:rsidRPr="007466EF">
        <w:rPr>
          <w:color w:val="000000"/>
        </w:rPr>
        <w:t>su u iznosu od 7.119.620,37 eura, dok su u 2023</w:t>
      </w:r>
      <w:r w:rsidRPr="007466EF">
        <w:t xml:space="preserve">. nije bilo </w:t>
      </w:r>
      <w:r w:rsidR="00024422">
        <w:t>ostvarenih</w:t>
      </w:r>
      <w:r w:rsidRPr="007466EF">
        <w:t xml:space="preserve"> rashoda s navedene osnove što predstavlja stopostotno povećanje kroz promatrano razdoblje.</w:t>
      </w:r>
    </w:p>
    <w:p w14:paraId="626FF6F2" w14:textId="7C61845E" w:rsidR="00215720" w:rsidRPr="007466EF" w:rsidRDefault="00215720" w:rsidP="00215720">
      <w:pPr>
        <w:shd w:val="clear" w:color="auto" w:fill="FFFFFF"/>
        <w:jc w:val="both"/>
      </w:pPr>
    </w:p>
    <w:p w14:paraId="4C807315" w14:textId="03B6A618" w:rsidR="00215720" w:rsidRPr="007466EF" w:rsidRDefault="00215720" w:rsidP="00215720">
      <w:pPr>
        <w:jc w:val="both"/>
      </w:pPr>
      <w:r w:rsidRPr="007466EF">
        <w:t xml:space="preserve">U okviru navedenog rashoda, najznačajniji iznos </w:t>
      </w:r>
      <w:r w:rsidRPr="007466EF">
        <w:rPr>
          <w:color w:val="212121"/>
        </w:rPr>
        <w:t>od 6.877.962,00 eura</w:t>
      </w:r>
      <w:r w:rsidRPr="007466EF">
        <w:t xml:space="preserve"> odnosi se na prijeboj potraživanja s osnova izdanih i protestiranih državnih jamstava s nekretninama trgovačkog društva ULJANIK d.d. u stečaju. Društvo Uljanik Brodogradilište d.d. u stečaju je bilo založni dužnik za zaduženje društva ULJANIK d.d. u stečaju zbog čega Ministarstvo financija u stečajnom postupku nad društvom Uljanik Brodogradilište d.d. ima pravo namirenja potraživanja iz njegove stečajne mase.</w:t>
      </w:r>
    </w:p>
    <w:p w14:paraId="110E8D29" w14:textId="77777777" w:rsidR="00215720" w:rsidRPr="007466EF" w:rsidRDefault="00215720" w:rsidP="00215720">
      <w:pPr>
        <w:jc w:val="both"/>
      </w:pPr>
    </w:p>
    <w:p w14:paraId="4357DF72" w14:textId="7B3ACD2E" w:rsidR="00215720" w:rsidRPr="007466EF" w:rsidRDefault="00215720" w:rsidP="00215720">
      <w:pPr>
        <w:pStyle w:val="xmsonormal"/>
        <w:shd w:val="clear" w:color="auto" w:fill="FFFFFF"/>
        <w:spacing w:before="0" w:beforeAutospacing="0" w:after="0" w:afterAutospacing="0"/>
        <w:jc w:val="both"/>
        <w:rPr>
          <w:color w:val="212121"/>
        </w:rPr>
      </w:pPr>
      <w:r w:rsidRPr="007466EF">
        <w:rPr>
          <w:color w:val="212121"/>
        </w:rPr>
        <w:t xml:space="preserve">Ministarstvo financija podmirilo je preostale obveze Ministarstva financija temeljem izdanog i protestiranog državnog jamstva PBZ-u, a za obveze društva ULJANIK d.d. u stečaju u iznosu od 770.120,30 eura. </w:t>
      </w:r>
      <w:r w:rsidRPr="007466EF">
        <w:rPr>
          <w:bCs/>
          <w:color w:val="212121"/>
        </w:rPr>
        <w:t>B</w:t>
      </w:r>
      <w:r w:rsidRPr="007466EF">
        <w:rPr>
          <w:color w:val="212121"/>
        </w:rPr>
        <w:t xml:space="preserve">udući je Ministarstvo financija isplatilo potraživanje PBZ-a plaćanjem po izdanom i protestiranom državnom jamstvu, temeljem zakonske </w:t>
      </w:r>
      <w:proofErr w:type="spellStart"/>
      <w:r w:rsidRPr="007466EF">
        <w:rPr>
          <w:color w:val="212121"/>
        </w:rPr>
        <w:t>subrogacije</w:t>
      </w:r>
      <w:proofErr w:type="spellEnd"/>
      <w:r w:rsidRPr="007466EF">
        <w:rPr>
          <w:color w:val="212121"/>
        </w:rPr>
        <w:t xml:space="preserve"> tražbina PBZ-a prešla je na Ministarstvo financija.</w:t>
      </w:r>
    </w:p>
    <w:p w14:paraId="1D23E418" w14:textId="77777777" w:rsidR="00215720" w:rsidRPr="007466EF" w:rsidRDefault="00215720" w:rsidP="00215720">
      <w:pPr>
        <w:pStyle w:val="xmsonormal"/>
        <w:shd w:val="clear" w:color="auto" w:fill="FFFFFF"/>
        <w:spacing w:before="0" w:beforeAutospacing="0" w:after="0" w:afterAutospacing="0"/>
        <w:jc w:val="both"/>
        <w:rPr>
          <w:rFonts w:ascii="Calibri" w:hAnsi="Calibri" w:cs="Calibri"/>
          <w:color w:val="212121"/>
          <w:sz w:val="22"/>
          <w:szCs w:val="22"/>
        </w:rPr>
      </w:pPr>
    </w:p>
    <w:p w14:paraId="455F888C" w14:textId="4B3E69D9" w:rsidR="00215720" w:rsidRPr="007466EF" w:rsidRDefault="00215720" w:rsidP="00215720">
      <w:pPr>
        <w:pStyle w:val="xmsonormal"/>
        <w:shd w:val="clear" w:color="auto" w:fill="FFFFFF"/>
        <w:spacing w:before="0" w:beforeAutospacing="0" w:after="0" w:afterAutospacing="0"/>
        <w:jc w:val="both"/>
        <w:rPr>
          <w:color w:val="212121"/>
        </w:rPr>
      </w:pPr>
      <w:r w:rsidRPr="007466EF">
        <w:rPr>
          <w:color w:val="212121"/>
        </w:rPr>
        <w:t>Ministarstvo financija je radi osiguranja potraživanja koja mogu nastati temeljem državnog jamstva zasnovalo hipoteku prvog reda na suvlasničkom dijelu nekretnine u vlasništvu ULJANIK Brodogradilište, d.d. u stečaju. Budući je Ministarstvo financija isplatilo potraživanje PBZ-a plaćanjem po izdanom i protestiranom državnom jamstvu, hipoteka PBZ-a s nekretnine se brisala te je time Ministarstvo financija postalo jedino upisano u teretovnici u zemljišnim knjigama.</w:t>
      </w:r>
    </w:p>
    <w:p w14:paraId="7D063C05" w14:textId="77777777" w:rsidR="00215720" w:rsidRPr="007466EF" w:rsidRDefault="00215720" w:rsidP="00215720">
      <w:pPr>
        <w:pStyle w:val="xmsonormal"/>
        <w:shd w:val="clear" w:color="auto" w:fill="FFFFFF"/>
        <w:spacing w:before="0" w:beforeAutospacing="0" w:after="0" w:afterAutospacing="0"/>
        <w:jc w:val="both"/>
        <w:rPr>
          <w:rFonts w:ascii="Calibri" w:hAnsi="Calibri" w:cs="Calibri"/>
          <w:color w:val="212121"/>
          <w:sz w:val="22"/>
          <w:szCs w:val="22"/>
        </w:rPr>
      </w:pPr>
    </w:p>
    <w:p w14:paraId="733991DC" w14:textId="534231BD" w:rsidR="00215720" w:rsidRPr="007466EF" w:rsidRDefault="00215720" w:rsidP="00215720">
      <w:pPr>
        <w:pStyle w:val="xmsonormal"/>
        <w:shd w:val="clear" w:color="auto" w:fill="FFFFFF"/>
        <w:spacing w:before="0" w:beforeAutospacing="0" w:after="0" w:afterAutospacing="0"/>
        <w:jc w:val="both"/>
        <w:rPr>
          <w:color w:val="212121"/>
        </w:rPr>
      </w:pPr>
      <w:r w:rsidRPr="007466EF">
        <w:rPr>
          <w:color w:val="212121"/>
        </w:rPr>
        <w:t>Rješenjem Trgovačkog suda u P</w:t>
      </w:r>
      <w:r w:rsidR="000F0D22" w:rsidRPr="007466EF">
        <w:rPr>
          <w:color w:val="212121"/>
        </w:rPr>
        <w:t>azinu od 2. veljače 2024.</w:t>
      </w:r>
      <w:r w:rsidRPr="007466EF">
        <w:rPr>
          <w:color w:val="212121"/>
        </w:rPr>
        <w:t xml:space="preserve"> određena je prodaja nekretnine</w:t>
      </w:r>
      <w:r w:rsidRPr="007466EF">
        <w:rPr>
          <w:color w:val="1F497D"/>
        </w:rPr>
        <w:t xml:space="preserve">, </w:t>
      </w:r>
      <w:r w:rsidRPr="007466EF">
        <w:rPr>
          <w:color w:val="212121"/>
        </w:rPr>
        <w:t>Zaključkom Trgovačkog suda u Pazinu od 1. ožujka 2024. utvrđeno je da vrijednost nekretnine iznosi 6.877.962,00 eura te je određeno da prodaju nekretnine provodi FINA elektroničkom javnom dražbom.</w:t>
      </w:r>
    </w:p>
    <w:p w14:paraId="029DA37B" w14:textId="77777777" w:rsidR="00215720" w:rsidRPr="007466EF" w:rsidRDefault="00215720" w:rsidP="00215720">
      <w:pPr>
        <w:pStyle w:val="xmsonormal"/>
        <w:shd w:val="clear" w:color="auto" w:fill="FFFFFF"/>
        <w:spacing w:before="0" w:beforeAutospacing="0" w:after="0" w:afterAutospacing="0"/>
        <w:jc w:val="both"/>
        <w:rPr>
          <w:color w:val="1F497D"/>
        </w:rPr>
      </w:pPr>
    </w:p>
    <w:p w14:paraId="64DFD161" w14:textId="194987FE" w:rsidR="00215720" w:rsidRPr="007466EF" w:rsidRDefault="00215720" w:rsidP="00215720">
      <w:pPr>
        <w:pStyle w:val="xmsonormal"/>
        <w:shd w:val="clear" w:color="auto" w:fill="FFFFFF"/>
        <w:spacing w:before="0" w:beforeAutospacing="0" w:after="0" w:afterAutospacing="0"/>
        <w:jc w:val="both"/>
        <w:rPr>
          <w:color w:val="212121"/>
        </w:rPr>
      </w:pPr>
      <w:r w:rsidRPr="007466EF">
        <w:rPr>
          <w:color w:val="212121"/>
        </w:rPr>
        <w:t xml:space="preserve">Ministarstvo financija je 15. svibnja 2024. uplatilo jamčevinu za sudjelovanje u javnoj dražbi u iznosu od 687.796,20 eura. 13. lipnja 2024. Ministarstvo financija je putem Županijskog državnog odvjetništva dostavilo podnesak Trgovačkom sudu u Pazinu da koristi mogućnost predviđenu odredbom članka 247. stavak 7. Stečajnog zakona i kao prvi </w:t>
      </w:r>
      <w:proofErr w:type="spellStart"/>
      <w:r w:rsidRPr="007466EF">
        <w:rPr>
          <w:color w:val="212121"/>
        </w:rPr>
        <w:t>razlučni</w:t>
      </w:r>
      <w:proofErr w:type="spellEnd"/>
      <w:r w:rsidRPr="007466EF">
        <w:rPr>
          <w:color w:val="212121"/>
        </w:rPr>
        <w:t xml:space="preserve"> vjerovnik u </w:t>
      </w:r>
      <w:proofErr w:type="spellStart"/>
      <w:r w:rsidRPr="007466EF">
        <w:rPr>
          <w:color w:val="212121"/>
        </w:rPr>
        <w:t>prednosnom</w:t>
      </w:r>
      <w:proofErr w:type="spellEnd"/>
      <w:r w:rsidRPr="007466EF">
        <w:rPr>
          <w:color w:val="212121"/>
        </w:rPr>
        <w:t xml:space="preserve"> redu daje Izjavu da kupuje predmetnu nekretninu i da stavlja u prijeboj svoju tražbinu s </w:t>
      </w:r>
      <w:proofErr w:type="spellStart"/>
      <w:r w:rsidRPr="007466EF">
        <w:rPr>
          <w:color w:val="212121"/>
        </w:rPr>
        <w:t>protutražbinom</w:t>
      </w:r>
      <w:proofErr w:type="spellEnd"/>
      <w:r w:rsidRPr="007466EF">
        <w:rPr>
          <w:color w:val="212121"/>
        </w:rPr>
        <w:t xml:space="preserve"> stečajnog dužnika po osnovi cijene u visini utvrđene vrijednosti nekr</w:t>
      </w:r>
      <w:r w:rsidR="000F0D22" w:rsidRPr="007466EF">
        <w:rPr>
          <w:color w:val="212121"/>
        </w:rPr>
        <w:t xml:space="preserve">etnine. 16. srpnja 2024. </w:t>
      </w:r>
      <w:r w:rsidRPr="007466EF">
        <w:rPr>
          <w:color w:val="212121"/>
        </w:rPr>
        <w:t>Trgovački sud u Pazinu donio je Rješenje kojim se kupcu Republici Hrvatskoj dosuđuje navedena nekretnina za iznos od 6.877.962,00 eura.</w:t>
      </w:r>
    </w:p>
    <w:p w14:paraId="4E5E2FF5" w14:textId="49677F28" w:rsidR="00864F97" w:rsidRPr="007466EF" w:rsidRDefault="00864F97" w:rsidP="00864F97">
      <w:pPr>
        <w:jc w:val="both"/>
        <w:rPr>
          <w:color w:val="000000"/>
        </w:rPr>
      </w:pPr>
    </w:p>
    <w:p w14:paraId="0E62B78D" w14:textId="36E1888A" w:rsidR="00864F97" w:rsidRPr="007466EF" w:rsidRDefault="00864F97" w:rsidP="00864F97">
      <w:pPr>
        <w:pStyle w:val="Naslov"/>
        <w:keepNext/>
        <w:rPr>
          <w:b w:val="0"/>
          <w:bCs w:val="0"/>
        </w:rPr>
      </w:pPr>
      <w:r w:rsidRPr="007466EF">
        <w:rPr>
          <w:b w:val="0"/>
          <w:bCs w:val="0"/>
        </w:rPr>
        <w:t>Bilješk</w:t>
      </w:r>
      <w:r w:rsidR="00E06C00" w:rsidRPr="007466EF">
        <w:rPr>
          <w:b w:val="0"/>
          <w:bCs w:val="0"/>
        </w:rPr>
        <w:t>a 44</w:t>
      </w:r>
      <w:r w:rsidRPr="007466EF">
        <w:rPr>
          <w:b w:val="0"/>
          <w:bCs w:val="0"/>
        </w:rPr>
        <w:t>.</w:t>
      </w:r>
    </w:p>
    <w:p w14:paraId="7C286520" w14:textId="77777777" w:rsidR="00864F97" w:rsidRPr="007466EF" w:rsidRDefault="00864F97" w:rsidP="00864F97">
      <w:pPr>
        <w:pStyle w:val="Naslov"/>
        <w:keepNext/>
        <w:rPr>
          <w:b w:val="0"/>
        </w:rPr>
      </w:pPr>
      <w:r w:rsidRPr="007466EF">
        <w:rPr>
          <w:b w:val="0"/>
        </w:rPr>
        <w:t xml:space="preserve">Šifra 8 Primici od financijske imovine i zaduživanja </w:t>
      </w:r>
    </w:p>
    <w:p w14:paraId="34BC72B7" w14:textId="35390996" w:rsidR="00864F97" w:rsidRPr="007466EF" w:rsidRDefault="00864F97" w:rsidP="00864F97">
      <w:pPr>
        <w:jc w:val="both"/>
      </w:pPr>
      <w:r w:rsidRPr="007466EF">
        <w:t>Na Šifri 8 Primici od financijske imovine i zaduživanja u 202</w:t>
      </w:r>
      <w:r w:rsidR="00215720" w:rsidRPr="007466EF">
        <w:t>4</w:t>
      </w:r>
      <w:r w:rsidRPr="007466EF">
        <w:t xml:space="preserve">. iskazan je iznos od </w:t>
      </w:r>
      <w:r w:rsidR="00215720" w:rsidRPr="007466EF">
        <w:t xml:space="preserve">5.579.148.494,14 </w:t>
      </w:r>
      <w:r w:rsidRPr="007466EF">
        <w:t xml:space="preserve">eura koji predstavlja naplaćene primitke od financijske imovine i zaduživanja. U odnosu </w:t>
      </w:r>
      <w:r w:rsidR="00215720" w:rsidRPr="007466EF">
        <w:t>na 2023.</w:t>
      </w:r>
      <w:r w:rsidRPr="007466EF">
        <w:t xml:space="preserve"> u kojoj je ostvareno </w:t>
      </w:r>
      <w:r w:rsidR="00215720" w:rsidRPr="007466EF">
        <w:t xml:space="preserve">6.975.549.376,48 </w:t>
      </w:r>
      <w:r w:rsidRPr="007466EF">
        <w:t>eura</w:t>
      </w:r>
      <w:r w:rsidR="00E06C00" w:rsidRPr="007466EF">
        <w:t>, u 2024.</w:t>
      </w:r>
      <w:r w:rsidRPr="007466EF">
        <w:t xml:space="preserve"> iskazano je </w:t>
      </w:r>
      <w:r w:rsidR="00215720" w:rsidRPr="007466EF">
        <w:t>smanjenje od 20%.</w:t>
      </w:r>
      <w:r w:rsidRPr="007466EF">
        <w:t xml:space="preserve"> Primici od financijske imovine i zaduživanja obuhvaćaju dugoročne i kratkoročne primitke od financijske imovine i zaduživanja.</w:t>
      </w:r>
    </w:p>
    <w:p w14:paraId="3C899426" w14:textId="77777777" w:rsidR="00864F97" w:rsidRPr="007466EF" w:rsidRDefault="00864F97" w:rsidP="00864F97">
      <w:pPr>
        <w:jc w:val="both"/>
      </w:pPr>
    </w:p>
    <w:p w14:paraId="05053C17" w14:textId="4CB0056C" w:rsidR="00864F97" w:rsidRPr="007466EF" w:rsidRDefault="00E06C00" w:rsidP="00864F97">
      <w:pPr>
        <w:jc w:val="both"/>
      </w:pPr>
      <w:r w:rsidRPr="007466EF">
        <w:t>Kratkoročni primici i izdaci u G</w:t>
      </w:r>
      <w:r w:rsidR="00864F97" w:rsidRPr="007466EF">
        <w:t xml:space="preserve">lavnoj knjizi državnog proračuna evidentiraju se sukladno odredbama Zakona o proračunu po bruto načelu odnosno u punom iznosu. Sukladno Uputi o </w:t>
      </w:r>
      <w:r w:rsidR="00864F97" w:rsidRPr="007466EF">
        <w:lastRenderedPageBreak/>
        <w:t>primjeni modificiranog novčanog načela u postupku planiranja i izvršavanja državnog proračuna i financijskih planova izvanproračunskih korisnika državnog proračuna (KLASA: 401-01/15-01/131, URBROJ: 513-05-03-19-3) kratkoročni primici i izdaci planiraju se i iskazuju u neto iznosu prema istovrsnim kategorijama. U financijskom izvještaju državnog proračuna kratkoročni primici i izdaci iskazuju se u neto iznosu nakon što se iznosi kratkoročnih primitaka i izdataka međusobno sučele prema istovrsnim kategorijama.</w:t>
      </w:r>
    </w:p>
    <w:p w14:paraId="34DF005E" w14:textId="77777777" w:rsidR="00864F97" w:rsidRPr="007466EF" w:rsidRDefault="00864F97" w:rsidP="007466EF">
      <w:pPr>
        <w:jc w:val="both"/>
        <w:rPr>
          <w:color w:val="000000"/>
        </w:rPr>
      </w:pPr>
    </w:p>
    <w:p w14:paraId="6A1DF0F6" w14:textId="108F3F31" w:rsidR="00864F97" w:rsidRPr="007466EF" w:rsidRDefault="00A75135" w:rsidP="00864F97">
      <w:pPr>
        <w:keepNext/>
        <w:jc w:val="center"/>
        <w:rPr>
          <w:sz w:val="28"/>
        </w:rPr>
      </w:pPr>
      <w:r w:rsidRPr="007466EF">
        <w:rPr>
          <w:sz w:val="28"/>
        </w:rPr>
        <w:t>Bilješka 45</w:t>
      </w:r>
      <w:r w:rsidR="00864F97" w:rsidRPr="007466EF">
        <w:rPr>
          <w:sz w:val="28"/>
        </w:rPr>
        <w:t>.</w:t>
      </w:r>
    </w:p>
    <w:p w14:paraId="765FDDD9" w14:textId="77777777" w:rsidR="00DB3D75" w:rsidRPr="007466EF" w:rsidRDefault="00DB3D75" w:rsidP="00DB3D75">
      <w:pPr>
        <w:keepNext/>
        <w:jc w:val="center"/>
        <w:rPr>
          <w:sz w:val="28"/>
        </w:rPr>
      </w:pPr>
      <w:r w:rsidRPr="007466EF">
        <w:rPr>
          <w:sz w:val="28"/>
        </w:rPr>
        <w:t>Šifra 8132 Povrat zajmova danih kreditnim institucijama u javnom sektoru</w:t>
      </w:r>
    </w:p>
    <w:p w14:paraId="4A9E7658" w14:textId="22EE47C6" w:rsidR="00DB3D75" w:rsidRPr="007466EF" w:rsidRDefault="00DB3D75" w:rsidP="004806FC">
      <w:pPr>
        <w:keepNext/>
        <w:jc w:val="both"/>
      </w:pPr>
      <w:r w:rsidRPr="007466EF">
        <w:t>Primici s osnove povrata zajmova danih kreditnim institucijama u javnom sektoru u 2024. ostvareni su u iznosu od 132.722.808,41 eura</w:t>
      </w:r>
      <w:r w:rsidR="004806FC" w:rsidRPr="007466EF">
        <w:t xml:space="preserve"> dok su u 2023. ostvareni u iznosu od 199.084.212,62 eura što predstavlja smanjenje od</w:t>
      </w:r>
      <w:r w:rsidRPr="007466EF">
        <w:t xml:space="preserve"> 33,3% </w:t>
      </w:r>
      <w:r w:rsidR="004806FC" w:rsidRPr="007466EF">
        <w:t>u promatranom razdoblju, a ostvareni primitak</w:t>
      </w:r>
      <w:r w:rsidR="00A75135" w:rsidRPr="007466EF">
        <w:t xml:space="preserve"> u 2024.</w:t>
      </w:r>
      <w:r w:rsidR="004806FC" w:rsidRPr="007466EF">
        <w:t xml:space="preserve"> odnosi se na povrat zajma dodijeljenog temeljem Ugovora o zajmu iz 2022. zaključenim sa HBOR-om.</w:t>
      </w:r>
    </w:p>
    <w:p w14:paraId="6E2F457D" w14:textId="2689CC77" w:rsidR="00DB3D75" w:rsidRPr="007466EF" w:rsidRDefault="00DB3D75" w:rsidP="007466EF">
      <w:pPr>
        <w:jc w:val="both"/>
        <w:rPr>
          <w:color w:val="000000"/>
        </w:rPr>
      </w:pPr>
    </w:p>
    <w:p w14:paraId="78B1B3E4" w14:textId="2D6B4D31" w:rsidR="004806FC" w:rsidRPr="007466EF" w:rsidRDefault="004806FC" w:rsidP="004806FC">
      <w:pPr>
        <w:keepNext/>
        <w:jc w:val="center"/>
        <w:rPr>
          <w:sz w:val="28"/>
        </w:rPr>
      </w:pPr>
      <w:r w:rsidRPr="007466EF">
        <w:rPr>
          <w:sz w:val="28"/>
        </w:rPr>
        <w:t>Bilješka 4</w:t>
      </w:r>
      <w:r w:rsidR="00A75135" w:rsidRPr="007466EF">
        <w:rPr>
          <w:sz w:val="28"/>
        </w:rPr>
        <w:t>6</w:t>
      </w:r>
      <w:r w:rsidRPr="007466EF">
        <w:rPr>
          <w:sz w:val="28"/>
        </w:rPr>
        <w:t>.</w:t>
      </w:r>
    </w:p>
    <w:p w14:paraId="19B1ECE7" w14:textId="33BDBFF0" w:rsidR="00864F97" w:rsidRPr="007466EF" w:rsidRDefault="00864F97" w:rsidP="00864F97">
      <w:pPr>
        <w:keepNext/>
        <w:jc w:val="center"/>
        <w:rPr>
          <w:sz w:val="28"/>
        </w:rPr>
      </w:pPr>
      <w:r w:rsidRPr="007466EF">
        <w:rPr>
          <w:sz w:val="28"/>
        </w:rPr>
        <w:t>Šifra 81</w:t>
      </w:r>
      <w:r w:rsidR="00DB3D75" w:rsidRPr="007466EF">
        <w:rPr>
          <w:sz w:val="28"/>
        </w:rPr>
        <w:t>4</w:t>
      </w:r>
      <w:r w:rsidRPr="007466EF">
        <w:rPr>
          <w:sz w:val="28"/>
        </w:rPr>
        <w:t xml:space="preserve"> </w:t>
      </w:r>
      <w:r w:rsidR="00DB3D75" w:rsidRPr="007466EF">
        <w:rPr>
          <w:sz w:val="28"/>
        </w:rPr>
        <w:t>Primici (povrati) glavnice zajmova danih trgovačkim društvima u javnom sektoru</w:t>
      </w:r>
    </w:p>
    <w:p w14:paraId="20A7A62E" w14:textId="0202E80F" w:rsidR="00864F97" w:rsidRPr="007466EF" w:rsidRDefault="00807836" w:rsidP="00864F97">
      <w:pPr>
        <w:keepNext/>
        <w:jc w:val="both"/>
      </w:pPr>
      <w:r w:rsidRPr="007466EF">
        <w:t>Primici s osnove povrata glavnice zajmova danih trgovačkim društvima u javnom sektoru u 2024. ostvareni su u iznosu od 400.206.529,84 eura dok su u 2023. ostvareni u iznosu od 206.529,84 eura što predstavlja značajno povećanje u promatranom razdoblju.</w:t>
      </w:r>
    </w:p>
    <w:p w14:paraId="448D263F" w14:textId="77777777" w:rsidR="00807836" w:rsidRPr="007466EF" w:rsidRDefault="00807836" w:rsidP="00864F97">
      <w:pPr>
        <w:keepNext/>
        <w:jc w:val="both"/>
      </w:pPr>
    </w:p>
    <w:p w14:paraId="2E1FB3D2" w14:textId="711E7903" w:rsidR="007B0F7F" w:rsidRPr="007466EF" w:rsidRDefault="007B0F7F" w:rsidP="007466EF">
      <w:pPr>
        <w:jc w:val="both"/>
      </w:pPr>
      <w:r w:rsidRPr="007466EF">
        <w:rPr>
          <w:color w:val="000000"/>
        </w:rPr>
        <w:t>Najznačajniji iznos ostvarenih primitaka u 2024. u visini od 400.000.000,00 eura odnosi se na primitke s osnove povrata glavnice danog dioničarskog zajma danog društvu HEP d.d. Naime, u 2023. s</w:t>
      </w:r>
      <w:r w:rsidRPr="007466EF">
        <w:t>ukladno točki II. Odluke o odobrenju davanja dioničarskog zajma društvu HEP d.d. i pokretanju aktivnosti postupka dokapitalizacije, KLASA: 022-03/23-04/117, URBROJ: 50301-05/27-23-3, od 30. ožujka 2023.,  društvu HEP d.d. dan je dioničarski zajam u iznosu 400.000.000,00 eura te je sklopljen Ugovor o dioničarskom zajmu u iznosu od 400.000.000,00 eura između Ministarstva gospodarstva i održivog razvoja i društva HEP d.d. U 2024. Vlada Republike Hrvatske donijela je Odluku o nadoknadi razlike cijene električne energije društvu Hrvatska elektroprivreda d.d. i provedbenim aktivnostima (KLASA: 022-03/24-04/135, URBROJ: 50301-05/27-24-2, od 14. ožujka 2024.) kojom je odobrena nadoknada društvu HEP d.d. za kupce kategorije poduzetništvo u visini razlike između ugovorene cijene i cijene obračunate kupcima za razdoblje 1. listopada 2022. – 31. ožujka 2023. u ukupnom iznosu od 547.075.454,25 eura.</w:t>
      </w:r>
      <w:r w:rsidRPr="007466EF">
        <w:rPr>
          <w:color w:val="000000"/>
        </w:rPr>
        <w:t xml:space="preserve"> </w:t>
      </w:r>
      <w:r w:rsidRPr="007466EF">
        <w:t>Za odobreni iznos nadoknade iz točke II. ove Odluke izvršen je prijeboj s dioničarskim zajmom u iznosu od 400.000.000,00 eura</w:t>
      </w:r>
      <w:r w:rsidRPr="007466EF">
        <w:rPr>
          <w:b/>
        </w:rPr>
        <w:t xml:space="preserve"> </w:t>
      </w:r>
      <w:r w:rsidRPr="007466EF">
        <w:t>uvećanim za iznos kamata na dan donošenja Odluke.</w:t>
      </w:r>
    </w:p>
    <w:p w14:paraId="39156EF6" w14:textId="77777777" w:rsidR="007B0F7F" w:rsidRPr="007466EF" w:rsidRDefault="007B0F7F" w:rsidP="007466EF">
      <w:pPr>
        <w:jc w:val="both"/>
        <w:rPr>
          <w:color w:val="000000"/>
        </w:rPr>
      </w:pPr>
    </w:p>
    <w:p w14:paraId="02C9FCEC" w14:textId="6CF21BA3" w:rsidR="007B0F7F" w:rsidRPr="007466EF" w:rsidRDefault="007B0F7F" w:rsidP="007B0F7F">
      <w:pPr>
        <w:keepNext/>
        <w:jc w:val="center"/>
        <w:rPr>
          <w:sz w:val="28"/>
        </w:rPr>
      </w:pPr>
      <w:r w:rsidRPr="007466EF">
        <w:rPr>
          <w:sz w:val="28"/>
        </w:rPr>
        <w:t>Bilješka 4</w:t>
      </w:r>
      <w:r w:rsidR="00A75135" w:rsidRPr="007466EF">
        <w:rPr>
          <w:sz w:val="28"/>
        </w:rPr>
        <w:t>7</w:t>
      </w:r>
      <w:r w:rsidRPr="007466EF">
        <w:rPr>
          <w:sz w:val="28"/>
        </w:rPr>
        <w:t>.</w:t>
      </w:r>
    </w:p>
    <w:p w14:paraId="19F89951" w14:textId="14C0F35D" w:rsidR="007B0F7F" w:rsidRPr="007466EF" w:rsidRDefault="007B0F7F" w:rsidP="007B0F7F">
      <w:pPr>
        <w:keepNext/>
        <w:jc w:val="center"/>
        <w:rPr>
          <w:sz w:val="28"/>
        </w:rPr>
      </w:pPr>
      <w:r w:rsidRPr="007466EF">
        <w:rPr>
          <w:sz w:val="28"/>
        </w:rPr>
        <w:t>Šifra 8163 Povrat zajmova danih trgovačkim društvima izvan javnog sektora</w:t>
      </w:r>
    </w:p>
    <w:p w14:paraId="0467F18F" w14:textId="4975DEFE" w:rsidR="007B0F7F" w:rsidRPr="007466EF" w:rsidRDefault="007B0F7F" w:rsidP="007B0F7F">
      <w:pPr>
        <w:pStyle w:val="xmsonormal"/>
        <w:shd w:val="clear" w:color="auto" w:fill="FFFFFF"/>
        <w:spacing w:before="0" w:beforeAutospacing="0" w:after="0" w:afterAutospacing="0"/>
        <w:jc w:val="both"/>
        <w:rPr>
          <w:color w:val="212121"/>
        </w:rPr>
      </w:pPr>
      <w:r w:rsidRPr="007466EF">
        <w:rPr>
          <w:color w:val="212121"/>
        </w:rPr>
        <w:t xml:space="preserve">U 2024. ostvareno je 7.058.044,64 eura primitaka od povrata zajmova danih tuzemnim trgovačkim društvima izvan javnog sektora, dok je u 2023. ostvareno 3.319.260,36 eura što predstavlja povećanje od 112,65% u promatranom razdoblju. U okviru navedenog primitka najznačajniji dio odnosi se na povrat zajma </w:t>
      </w:r>
      <w:proofErr w:type="spellStart"/>
      <w:r w:rsidRPr="007466EF">
        <w:rPr>
          <w:color w:val="212121"/>
        </w:rPr>
        <w:t>Alpha</w:t>
      </w:r>
      <w:proofErr w:type="spellEnd"/>
      <w:r w:rsidRPr="007466EF">
        <w:rPr>
          <w:color w:val="212121"/>
        </w:rPr>
        <w:t xml:space="preserve"> Adriatic d.d. (ranije Ulj</w:t>
      </w:r>
      <w:r w:rsidR="00B72902" w:rsidRPr="007466EF">
        <w:rPr>
          <w:color w:val="212121"/>
        </w:rPr>
        <w:t xml:space="preserve">anik plovidba d.d.) u iznosu od 1.971.573,99 </w:t>
      </w:r>
      <w:r w:rsidRPr="007466EF">
        <w:rPr>
          <w:color w:val="212121"/>
        </w:rPr>
        <w:t>eura.</w:t>
      </w:r>
    </w:p>
    <w:p w14:paraId="22AA9D0B" w14:textId="77777777" w:rsidR="007B0F7F" w:rsidRPr="007466EF" w:rsidRDefault="007B0F7F" w:rsidP="007B0F7F">
      <w:pPr>
        <w:pStyle w:val="xmsonormal"/>
        <w:shd w:val="clear" w:color="auto" w:fill="FFFFFF"/>
        <w:spacing w:before="0" w:beforeAutospacing="0" w:after="0" w:afterAutospacing="0"/>
        <w:jc w:val="both"/>
        <w:rPr>
          <w:color w:val="212121"/>
        </w:rPr>
      </w:pPr>
    </w:p>
    <w:p w14:paraId="06577B47" w14:textId="51CB22A1" w:rsidR="007B0F7F" w:rsidRPr="007466EF" w:rsidRDefault="00024422" w:rsidP="007B0F7F">
      <w:pPr>
        <w:pStyle w:val="xmsonormal"/>
        <w:shd w:val="clear" w:color="auto" w:fill="FFFFFF"/>
        <w:spacing w:before="0" w:beforeAutospacing="0" w:after="0" w:afterAutospacing="0"/>
        <w:jc w:val="both"/>
        <w:rPr>
          <w:color w:val="212121"/>
        </w:rPr>
      </w:pPr>
      <w:r>
        <w:rPr>
          <w:color w:val="212121"/>
        </w:rPr>
        <w:t>Osim</w:t>
      </w:r>
      <w:r w:rsidR="007B0F7F" w:rsidRPr="007466EF">
        <w:rPr>
          <w:color w:val="212121"/>
        </w:rPr>
        <w:t xml:space="preserve"> navedenoga, </w:t>
      </w:r>
      <w:r w:rsidR="00A75135" w:rsidRPr="007466EF">
        <w:rPr>
          <w:color w:val="212121"/>
        </w:rPr>
        <w:t>značajan iznos od 1.040.116,42 eura ostvaren</w:t>
      </w:r>
      <w:r w:rsidR="007B0F7F" w:rsidRPr="007466EF">
        <w:rPr>
          <w:color w:val="212121"/>
        </w:rPr>
        <w:t xml:space="preserve"> je prijebojem potraživanja za dane kredite Fonda za razvoj i zapošljavanje te kamata sa nekretninom trgovačkog društva SMS d.o.o.</w:t>
      </w:r>
    </w:p>
    <w:p w14:paraId="652102D2" w14:textId="77777777" w:rsidR="007B0F7F" w:rsidRPr="007466EF" w:rsidRDefault="007B0F7F" w:rsidP="007B0F7F">
      <w:pPr>
        <w:pStyle w:val="xmsonormal"/>
        <w:shd w:val="clear" w:color="auto" w:fill="FFFFFF"/>
        <w:spacing w:before="0" w:beforeAutospacing="0" w:after="0" w:afterAutospacing="0"/>
        <w:jc w:val="both"/>
        <w:rPr>
          <w:color w:val="212121"/>
        </w:rPr>
      </w:pPr>
    </w:p>
    <w:p w14:paraId="3E761CB0" w14:textId="7F9E19EC" w:rsidR="007B0F7F" w:rsidRPr="007466EF" w:rsidRDefault="007B0F7F" w:rsidP="007B0F7F">
      <w:pPr>
        <w:pStyle w:val="xmsonormal"/>
        <w:shd w:val="clear" w:color="auto" w:fill="FFFFFF"/>
        <w:spacing w:before="0" w:beforeAutospacing="0" w:after="0" w:afterAutospacing="0"/>
        <w:jc w:val="both"/>
        <w:rPr>
          <w:color w:val="212121"/>
        </w:rPr>
      </w:pPr>
      <w:r w:rsidRPr="007466EF">
        <w:rPr>
          <w:color w:val="212121"/>
        </w:rPr>
        <w:t>Naime, radi osiguranja novčane tražbine iz Ugovora o kreditu broj: G-FZ-05/03, sklopljen</w:t>
      </w:r>
      <w:r w:rsidR="000F0D22" w:rsidRPr="007466EF">
        <w:rPr>
          <w:color w:val="212121"/>
        </w:rPr>
        <w:t xml:space="preserve">og dana 14. srpnja 2003. </w:t>
      </w:r>
      <w:r w:rsidRPr="007466EF">
        <w:rPr>
          <w:color w:val="212121"/>
        </w:rPr>
        <w:t xml:space="preserve">između HBOR-a (u ime i za račun Fonda za razvoj i zapošljavanje, Zagreb) i društva SMS d.o.o., Split (kao korisnika kredita), sklopljen je I Dodatak Sporazumu o prijenosu vlasništva radi osiguranja novčane tražbine, temeljem kojeg je zasnovano založno pravo u korist Fonda za razvoj i zapošljavanje na nekretninama u vlasništvu društva SMS d.o.o., upisanim kod Općinskog suda u Splitu, Zemljišnoknjižni odjel Sinj, k.o. Košute, </w:t>
      </w:r>
      <w:proofErr w:type="spellStart"/>
      <w:r w:rsidRPr="007466EF">
        <w:rPr>
          <w:color w:val="212121"/>
        </w:rPr>
        <w:t>zk.ul</w:t>
      </w:r>
      <w:proofErr w:type="spellEnd"/>
      <w:r w:rsidRPr="007466EF">
        <w:rPr>
          <w:color w:val="212121"/>
        </w:rPr>
        <w:t xml:space="preserve">. 1851, k.č.br. 2070/12 - oranica od 91 m² i </w:t>
      </w:r>
      <w:proofErr w:type="spellStart"/>
      <w:r w:rsidRPr="007466EF">
        <w:rPr>
          <w:color w:val="212121"/>
        </w:rPr>
        <w:t>zk.ul</w:t>
      </w:r>
      <w:proofErr w:type="spellEnd"/>
      <w:r w:rsidRPr="007466EF">
        <w:rPr>
          <w:color w:val="212121"/>
        </w:rPr>
        <w:t>. 1901, k.č.br. 2070/6 – oranica 4791 m² i nova galanterija 2688 m² (prema elaboratu procjene tržišne vrijednosti predmetne nekretnine predstavljaju poslovnu građevinu i kotlovnicu u Trilju).</w:t>
      </w:r>
    </w:p>
    <w:p w14:paraId="54376314" w14:textId="77777777" w:rsidR="007B0F7F" w:rsidRPr="007466EF" w:rsidRDefault="007B0F7F" w:rsidP="007B0F7F">
      <w:pPr>
        <w:pStyle w:val="xmsonormal"/>
        <w:shd w:val="clear" w:color="auto" w:fill="FFFFFF"/>
        <w:spacing w:before="0" w:beforeAutospacing="0" w:after="0" w:afterAutospacing="0"/>
        <w:jc w:val="both"/>
        <w:rPr>
          <w:color w:val="212121"/>
        </w:rPr>
      </w:pPr>
      <w:r w:rsidRPr="007466EF">
        <w:rPr>
          <w:color w:val="212121"/>
        </w:rPr>
        <w:t> </w:t>
      </w:r>
    </w:p>
    <w:p w14:paraId="6BE0D99E" w14:textId="77777777" w:rsidR="007B0F7F" w:rsidRPr="007466EF" w:rsidRDefault="007B0F7F" w:rsidP="007B0F7F">
      <w:pPr>
        <w:pStyle w:val="xmsonormal"/>
        <w:shd w:val="clear" w:color="auto" w:fill="FFFFFF"/>
        <w:spacing w:before="0" w:beforeAutospacing="0" w:after="0" w:afterAutospacing="0"/>
        <w:jc w:val="both"/>
        <w:rPr>
          <w:color w:val="212121"/>
        </w:rPr>
      </w:pPr>
      <w:r w:rsidRPr="007466EF">
        <w:rPr>
          <w:color w:val="212121"/>
        </w:rPr>
        <w:t>U stečajnom postupku koji se vodi nad stečajnim dužnikom SMS d.o.o. u stečaju, za navedene nekretnine </w:t>
      </w:r>
      <w:r w:rsidRPr="007466EF">
        <w:rPr>
          <w:bCs/>
          <w:color w:val="212121"/>
        </w:rPr>
        <w:t>Ministarstvo financija je</w:t>
      </w:r>
      <w:r w:rsidRPr="007466EF">
        <w:rPr>
          <w:color w:val="212121"/>
        </w:rPr>
        <w:t xml:space="preserve">, kao slijednik bivšeg Fonda za razvoj i zapošljavanje, sukladno odredbama čl. 247. st. 7. Stečajnog zakona (Narodne Novine 71/15, 104/17), kao prvi </w:t>
      </w:r>
      <w:proofErr w:type="spellStart"/>
      <w:r w:rsidRPr="007466EF">
        <w:rPr>
          <w:color w:val="212121"/>
        </w:rPr>
        <w:t>razlučni</w:t>
      </w:r>
      <w:proofErr w:type="spellEnd"/>
      <w:r w:rsidRPr="007466EF">
        <w:rPr>
          <w:color w:val="212121"/>
        </w:rPr>
        <w:t xml:space="preserve"> vjerovnik u </w:t>
      </w:r>
      <w:proofErr w:type="spellStart"/>
      <w:r w:rsidRPr="007466EF">
        <w:rPr>
          <w:color w:val="212121"/>
        </w:rPr>
        <w:t>prednosnom</w:t>
      </w:r>
      <w:proofErr w:type="spellEnd"/>
      <w:r w:rsidRPr="007466EF">
        <w:rPr>
          <w:color w:val="212121"/>
        </w:rPr>
        <w:t xml:space="preserve"> redu </w:t>
      </w:r>
      <w:r w:rsidRPr="007466EF">
        <w:rPr>
          <w:bCs/>
          <w:color w:val="212121"/>
        </w:rPr>
        <w:t xml:space="preserve">izjavilo da koristi pravo prvokupa stavljanjem u prijeboj svoje tražbine s </w:t>
      </w:r>
      <w:proofErr w:type="spellStart"/>
      <w:r w:rsidRPr="007466EF">
        <w:rPr>
          <w:bCs/>
          <w:color w:val="212121"/>
        </w:rPr>
        <w:t>protutražbinom</w:t>
      </w:r>
      <w:proofErr w:type="spellEnd"/>
      <w:r w:rsidRPr="007466EF">
        <w:rPr>
          <w:bCs/>
          <w:color w:val="212121"/>
        </w:rPr>
        <w:t xml:space="preserve"> stečajnog dužnika po osnovi cijene u visini utvrđene vrijednosti nekretnine od 1.833.000,00 eura</w:t>
      </w:r>
      <w:r w:rsidRPr="007466EF">
        <w:rPr>
          <w:color w:val="212121"/>
        </w:rPr>
        <w:t>.</w:t>
      </w:r>
    </w:p>
    <w:p w14:paraId="2C097D0F" w14:textId="77777777" w:rsidR="007B0F7F" w:rsidRPr="007466EF" w:rsidRDefault="007B0F7F" w:rsidP="007B0F7F">
      <w:pPr>
        <w:pStyle w:val="xmsonormal"/>
        <w:shd w:val="clear" w:color="auto" w:fill="FFFFFF"/>
        <w:spacing w:before="0" w:beforeAutospacing="0" w:after="0" w:afterAutospacing="0"/>
        <w:jc w:val="both"/>
        <w:rPr>
          <w:color w:val="212121"/>
        </w:rPr>
      </w:pPr>
      <w:r w:rsidRPr="007466EF">
        <w:rPr>
          <w:color w:val="212121"/>
        </w:rPr>
        <w:t> </w:t>
      </w:r>
    </w:p>
    <w:p w14:paraId="030F6944" w14:textId="5EECF555" w:rsidR="007B0F7F" w:rsidRPr="007466EF" w:rsidRDefault="007B0F7F" w:rsidP="007B0F7F">
      <w:pPr>
        <w:pStyle w:val="xmsonormal"/>
        <w:shd w:val="clear" w:color="auto" w:fill="FFFFFF"/>
        <w:spacing w:before="0" w:beforeAutospacing="0" w:after="0" w:afterAutospacing="0"/>
        <w:jc w:val="both"/>
        <w:rPr>
          <w:color w:val="212121"/>
        </w:rPr>
      </w:pPr>
      <w:r w:rsidRPr="007466EF">
        <w:rPr>
          <w:color w:val="212121"/>
        </w:rPr>
        <w:t>Trgovački sud u Splitu zaključkom broj: 7 st-48/2009-</w:t>
      </w:r>
      <w:r w:rsidR="000F0D22" w:rsidRPr="007466EF">
        <w:rPr>
          <w:color w:val="212121"/>
        </w:rPr>
        <w:t xml:space="preserve">660 od 1. ožujka 2024. </w:t>
      </w:r>
      <w:r w:rsidRPr="007466EF">
        <w:rPr>
          <w:color w:val="212121"/>
        </w:rPr>
        <w:t xml:space="preserve">utvrđuje vrijednost nekretnina kč.br. 2070/6 i kč.br. 2070/12 kao cjeline u iznosu od 1.833.000,00 eura te određuje prodaju istih elektroničkom javnom dražbom. Za predmetne nekretnine kao ponuditelji </w:t>
      </w:r>
      <w:r w:rsidR="00024422">
        <w:rPr>
          <w:color w:val="212121"/>
        </w:rPr>
        <w:t>mogle su</w:t>
      </w:r>
      <w:r w:rsidRPr="007466EF">
        <w:rPr>
          <w:color w:val="212121"/>
        </w:rPr>
        <w:t xml:space="preserve"> sudjelovati samo osobe koje uplate jamčevinu od 10% vrijednosti nekretnine. Početna cijena za nadmetanje </w:t>
      </w:r>
      <w:r w:rsidR="00024422">
        <w:rPr>
          <w:color w:val="212121"/>
        </w:rPr>
        <w:t xml:space="preserve">iznosila </w:t>
      </w:r>
      <w:r w:rsidRPr="007466EF">
        <w:rPr>
          <w:color w:val="212121"/>
        </w:rPr>
        <w:t>je 1.374.750,00 eura, a dražbovni korak iznosi</w:t>
      </w:r>
      <w:r w:rsidR="00024422">
        <w:rPr>
          <w:color w:val="212121"/>
        </w:rPr>
        <w:t>o je</w:t>
      </w:r>
      <w:r w:rsidRPr="007466EF">
        <w:rPr>
          <w:color w:val="212121"/>
        </w:rPr>
        <w:t xml:space="preserve"> 2.500,00 eura.</w:t>
      </w:r>
    </w:p>
    <w:p w14:paraId="01460DC1" w14:textId="77777777" w:rsidR="007B0F7F" w:rsidRPr="007466EF" w:rsidRDefault="007B0F7F" w:rsidP="007B0F7F">
      <w:pPr>
        <w:pStyle w:val="xmsonormal"/>
        <w:shd w:val="clear" w:color="auto" w:fill="FFFFFF"/>
        <w:spacing w:before="0" w:beforeAutospacing="0" w:after="0" w:afterAutospacing="0"/>
        <w:jc w:val="both"/>
        <w:rPr>
          <w:color w:val="212121"/>
        </w:rPr>
      </w:pPr>
      <w:r w:rsidRPr="007466EF">
        <w:rPr>
          <w:color w:val="212121"/>
        </w:rPr>
        <w:t> </w:t>
      </w:r>
    </w:p>
    <w:p w14:paraId="1942B4B2" w14:textId="7D92CAA8" w:rsidR="007B0F7F" w:rsidRDefault="007B0F7F" w:rsidP="007B0F7F">
      <w:pPr>
        <w:pStyle w:val="xmsonormal"/>
        <w:shd w:val="clear" w:color="auto" w:fill="FFFFFF"/>
        <w:spacing w:before="0" w:beforeAutospacing="0" w:after="0" w:afterAutospacing="0"/>
        <w:jc w:val="both"/>
        <w:rPr>
          <w:color w:val="212121"/>
        </w:rPr>
      </w:pPr>
      <w:r w:rsidRPr="007466EF">
        <w:rPr>
          <w:color w:val="212121"/>
        </w:rPr>
        <w:t>S tim u vezi </w:t>
      </w:r>
      <w:r w:rsidRPr="007466EF">
        <w:rPr>
          <w:bCs/>
          <w:color w:val="212121"/>
        </w:rPr>
        <w:t xml:space="preserve">Ministarstvo financija </w:t>
      </w:r>
      <w:r w:rsidR="000F0D22" w:rsidRPr="007466EF">
        <w:rPr>
          <w:bCs/>
          <w:color w:val="212121"/>
        </w:rPr>
        <w:t>je dana 30. travnja 2024.</w:t>
      </w:r>
      <w:r w:rsidRPr="007466EF">
        <w:rPr>
          <w:bCs/>
          <w:color w:val="212121"/>
        </w:rPr>
        <w:t xml:space="preserve"> uplatilo Financijskoj agenciji jamčevinu u iznosu od 183.300,00 eura</w:t>
      </w:r>
      <w:r w:rsidRPr="007466EF">
        <w:rPr>
          <w:b/>
          <w:bCs/>
          <w:color w:val="212121"/>
        </w:rPr>
        <w:t> </w:t>
      </w:r>
      <w:r w:rsidRPr="007466EF">
        <w:rPr>
          <w:color w:val="212121"/>
        </w:rPr>
        <w:t>te je na javnoj dražbi dalo ponudu za navedenu nekretninu u iznosu od 1.377.250,00 eura.</w:t>
      </w:r>
      <w:r w:rsidR="00B72902" w:rsidRPr="007466EF">
        <w:rPr>
          <w:color w:val="212121"/>
        </w:rPr>
        <w:t xml:space="preserve"> </w:t>
      </w:r>
      <w:r w:rsidRPr="007466EF">
        <w:rPr>
          <w:color w:val="212121"/>
        </w:rPr>
        <w:t xml:space="preserve">Rješenjem Trgovačkog suda u Splitu </w:t>
      </w:r>
      <w:proofErr w:type="spellStart"/>
      <w:r w:rsidRPr="007466EF">
        <w:rPr>
          <w:color w:val="212121"/>
        </w:rPr>
        <w:t>posl</w:t>
      </w:r>
      <w:proofErr w:type="spellEnd"/>
      <w:r w:rsidRPr="007466EF">
        <w:rPr>
          <w:color w:val="212121"/>
        </w:rPr>
        <w:t>. br. St-48/20</w:t>
      </w:r>
      <w:r w:rsidR="000F0D22" w:rsidRPr="007466EF">
        <w:rPr>
          <w:color w:val="212121"/>
        </w:rPr>
        <w:t>09-737 od 6. lipnja 2024.</w:t>
      </w:r>
      <w:r w:rsidRPr="007466EF">
        <w:rPr>
          <w:color w:val="212121"/>
        </w:rPr>
        <w:t xml:space="preserve"> kupcu –</w:t>
      </w:r>
      <w:r w:rsidR="00024422">
        <w:rPr>
          <w:color w:val="212121"/>
        </w:rPr>
        <w:t xml:space="preserve"> </w:t>
      </w:r>
      <w:proofErr w:type="spellStart"/>
      <w:r w:rsidRPr="007466EF">
        <w:rPr>
          <w:color w:val="212121"/>
        </w:rPr>
        <w:t>razlučnom</w:t>
      </w:r>
      <w:proofErr w:type="spellEnd"/>
      <w:r w:rsidRPr="007466EF">
        <w:rPr>
          <w:color w:val="212121"/>
        </w:rPr>
        <w:t xml:space="preserve"> vjerovniku </w:t>
      </w:r>
      <w:r w:rsidRPr="007466EF">
        <w:rPr>
          <w:bCs/>
          <w:color w:val="212121"/>
        </w:rPr>
        <w:t xml:space="preserve">RH Ministarstvu financija </w:t>
      </w:r>
      <w:r w:rsidR="00024422">
        <w:rPr>
          <w:bCs/>
          <w:color w:val="212121"/>
        </w:rPr>
        <w:t>dosuđene su</w:t>
      </w:r>
      <w:r w:rsidRPr="007466EF">
        <w:rPr>
          <w:bCs/>
          <w:color w:val="212121"/>
        </w:rPr>
        <w:t xml:space="preserve"> navedene nekretnine za iznos od 1.377.250,00 eura</w:t>
      </w:r>
      <w:r w:rsidRPr="007466EF">
        <w:rPr>
          <w:color w:val="212121"/>
        </w:rPr>
        <w:t xml:space="preserve"> te </w:t>
      </w:r>
      <w:r w:rsidR="00024422">
        <w:rPr>
          <w:color w:val="212121"/>
        </w:rPr>
        <w:t xml:space="preserve">je isti oslobođen </w:t>
      </w:r>
      <w:r w:rsidRPr="007466EF">
        <w:rPr>
          <w:color w:val="212121"/>
        </w:rPr>
        <w:t xml:space="preserve">polaganja </w:t>
      </w:r>
      <w:proofErr w:type="spellStart"/>
      <w:r w:rsidRPr="007466EF">
        <w:rPr>
          <w:color w:val="212121"/>
        </w:rPr>
        <w:t>kupovnine</w:t>
      </w:r>
      <w:proofErr w:type="spellEnd"/>
      <w:r w:rsidRPr="007466EF">
        <w:rPr>
          <w:color w:val="212121"/>
        </w:rPr>
        <w:t xml:space="preserve"> za navedene nekretnine osim u dijelu troškova na čiju naknadu imaju prvenstveno pravo druge osobe koje se namiruju iz </w:t>
      </w:r>
      <w:proofErr w:type="spellStart"/>
      <w:r w:rsidRPr="007466EF">
        <w:rPr>
          <w:color w:val="212121"/>
        </w:rPr>
        <w:t>kupovnine</w:t>
      </w:r>
      <w:proofErr w:type="spellEnd"/>
      <w:r w:rsidRPr="007466EF">
        <w:rPr>
          <w:color w:val="212121"/>
        </w:rPr>
        <w:t>.</w:t>
      </w:r>
    </w:p>
    <w:p w14:paraId="5E42897C" w14:textId="77777777" w:rsidR="00024422" w:rsidRPr="007466EF" w:rsidRDefault="00024422" w:rsidP="007B0F7F">
      <w:pPr>
        <w:pStyle w:val="xmsonormal"/>
        <w:shd w:val="clear" w:color="auto" w:fill="FFFFFF"/>
        <w:spacing w:before="0" w:beforeAutospacing="0" w:after="0" w:afterAutospacing="0"/>
        <w:jc w:val="both"/>
        <w:rPr>
          <w:color w:val="212121"/>
        </w:rPr>
      </w:pPr>
    </w:p>
    <w:p w14:paraId="351F19FF" w14:textId="0B801406" w:rsidR="007B0F7F" w:rsidRPr="007466EF" w:rsidRDefault="007B0F7F" w:rsidP="007B0F7F">
      <w:pPr>
        <w:pStyle w:val="xmsonormal"/>
        <w:shd w:val="clear" w:color="auto" w:fill="FFFFFF"/>
        <w:spacing w:before="0" w:beforeAutospacing="0" w:after="0" w:afterAutospacing="0"/>
        <w:jc w:val="both"/>
        <w:rPr>
          <w:color w:val="212121"/>
        </w:rPr>
      </w:pPr>
      <w:r w:rsidRPr="007466EF">
        <w:rPr>
          <w:color w:val="212121"/>
        </w:rPr>
        <w:t xml:space="preserve">Rješenjem Trgovačkog suda u Splitu </w:t>
      </w:r>
      <w:proofErr w:type="spellStart"/>
      <w:r w:rsidRPr="007466EF">
        <w:rPr>
          <w:color w:val="212121"/>
        </w:rPr>
        <w:t>posl</w:t>
      </w:r>
      <w:proofErr w:type="spellEnd"/>
      <w:r w:rsidRPr="007466EF">
        <w:rPr>
          <w:color w:val="212121"/>
        </w:rPr>
        <w:t>. br. St-48/2009-7</w:t>
      </w:r>
      <w:r w:rsidR="000F0D22" w:rsidRPr="007466EF">
        <w:rPr>
          <w:color w:val="212121"/>
        </w:rPr>
        <w:t>94 od 16. listopada 2024.</w:t>
      </w:r>
      <w:r w:rsidRPr="007466EF">
        <w:rPr>
          <w:color w:val="212121"/>
        </w:rPr>
        <w:t> </w:t>
      </w:r>
      <w:r w:rsidRPr="007466EF">
        <w:rPr>
          <w:bCs/>
          <w:color w:val="212121"/>
        </w:rPr>
        <w:t xml:space="preserve">iz iznosa </w:t>
      </w:r>
      <w:proofErr w:type="spellStart"/>
      <w:r w:rsidRPr="007466EF">
        <w:rPr>
          <w:bCs/>
          <w:color w:val="212121"/>
        </w:rPr>
        <w:t>kupovnine</w:t>
      </w:r>
      <w:proofErr w:type="spellEnd"/>
      <w:r w:rsidRPr="007466EF">
        <w:rPr>
          <w:bCs/>
          <w:color w:val="212121"/>
        </w:rPr>
        <w:t xml:space="preserve"> od 1.377.250,00 eura ostvarenog prodajom nekretnina </w:t>
      </w:r>
      <w:r w:rsidR="00024422">
        <w:rPr>
          <w:bCs/>
          <w:color w:val="212121"/>
        </w:rPr>
        <w:t>namireni su</w:t>
      </w:r>
      <w:r w:rsidRPr="007466EF">
        <w:rPr>
          <w:bCs/>
          <w:color w:val="212121"/>
        </w:rPr>
        <w:t xml:space="preserve"> troškovi unovčenja u iznosu od 182.795,34 eura i djelomično tražbina vjerovnika RH Ministarstva financija u iznosu od 1.194.454,66 eura (od čega se 1.040.116,42 eura odnosi na glavnicu a ostatak na kamate) prebijanjem iznosa njegove tražbine s ostvarenom </w:t>
      </w:r>
      <w:proofErr w:type="spellStart"/>
      <w:r w:rsidRPr="007466EF">
        <w:rPr>
          <w:bCs/>
          <w:color w:val="212121"/>
        </w:rPr>
        <w:t>kupovninom</w:t>
      </w:r>
      <w:proofErr w:type="spellEnd"/>
      <w:r w:rsidRPr="007466EF">
        <w:rPr>
          <w:bCs/>
          <w:color w:val="212121"/>
        </w:rPr>
        <w:t>.</w:t>
      </w:r>
    </w:p>
    <w:p w14:paraId="663BC9F5" w14:textId="0767528D" w:rsidR="00864F97" w:rsidRPr="007466EF" w:rsidRDefault="00864F97" w:rsidP="00864F97">
      <w:pPr>
        <w:jc w:val="both"/>
        <w:rPr>
          <w:color w:val="000000"/>
        </w:rPr>
      </w:pPr>
    </w:p>
    <w:p w14:paraId="1EBFB82A" w14:textId="53EEDC05" w:rsidR="00864F97" w:rsidRPr="007466EF" w:rsidRDefault="00DE25D9" w:rsidP="00864F97">
      <w:pPr>
        <w:keepNext/>
        <w:jc w:val="center"/>
        <w:rPr>
          <w:sz w:val="28"/>
        </w:rPr>
      </w:pPr>
      <w:r w:rsidRPr="007466EF">
        <w:rPr>
          <w:sz w:val="28"/>
        </w:rPr>
        <w:t>Bilješka 48</w:t>
      </w:r>
      <w:r w:rsidR="00864F97" w:rsidRPr="007466EF">
        <w:rPr>
          <w:sz w:val="28"/>
        </w:rPr>
        <w:t>.</w:t>
      </w:r>
    </w:p>
    <w:p w14:paraId="3E880120" w14:textId="77777777" w:rsidR="00864F97" w:rsidRPr="007466EF" w:rsidRDefault="00864F97" w:rsidP="00864F97">
      <w:pPr>
        <w:keepNext/>
        <w:jc w:val="center"/>
        <w:rPr>
          <w:sz w:val="28"/>
        </w:rPr>
      </w:pPr>
      <w:r w:rsidRPr="007466EF">
        <w:rPr>
          <w:sz w:val="28"/>
        </w:rPr>
        <w:t>Šifra 817 Povrat zajmova danih drugim razinama vlasti</w:t>
      </w:r>
    </w:p>
    <w:p w14:paraId="029FF116" w14:textId="25A46D1C" w:rsidR="00864F97" w:rsidRPr="007466EF" w:rsidRDefault="00864F97" w:rsidP="00864F97">
      <w:pPr>
        <w:keepNext/>
        <w:jc w:val="both"/>
      </w:pPr>
      <w:r w:rsidRPr="007466EF">
        <w:t xml:space="preserve">Primici s osnove povrata zajmova danih drugim razinama vlasti  ostvareni su u </w:t>
      </w:r>
      <w:r w:rsidR="00B72902" w:rsidRPr="007466EF">
        <w:t>2024. u</w:t>
      </w:r>
      <w:r w:rsidRPr="007466EF">
        <w:t xml:space="preserve"> iznosu od </w:t>
      </w:r>
      <w:r w:rsidR="00B72902" w:rsidRPr="007466EF">
        <w:t>28.226.661,55 eura i za 68,1</w:t>
      </w:r>
      <w:r w:rsidRPr="007466EF">
        <w:t>% su manji u odnosu na os</w:t>
      </w:r>
      <w:r w:rsidR="00562444" w:rsidRPr="007466EF">
        <w:t>tvarene primitke u 2023.</w:t>
      </w:r>
    </w:p>
    <w:p w14:paraId="134E7CEC" w14:textId="77FA0E71" w:rsidR="00B72902" w:rsidRPr="007466EF" w:rsidRDefault="00B72902" w:rsidP="00B72902">
      <w:pPr>
        <w:keepNext/>
        <w:jc w:val="both"/>
      </w:pPr>
    </w:p>
    <w:p w14:paraId="451B28C0" w14:textId="73C5D4FE" w:rsidR="00B72902" w:rsidRPr="007466EF" w:rsidRDefault="00B72902" w:rsidP="00B72902">
      <w:pPr>
        <w:keepNext/>
        <w:jc w:val="both"/>
      </w:pPr>
      <w:r w:rsidRPr="007466EF">
        <w:t xml:space="preserve">Navedeni iznos najvećim se dijelom odnosi na povrate zajmova danih županijama, gradovima i općinama po osnovi odgode/obročne otplate poreza na dohodak i prireza porezu na dohodak, po osnovi povrata poreza na dohodak po godišnjoj prijavi za 2019., pada prihoda u razdoblju siječanj-rujan 2020. i siječanj-rujan 2021. u odnosu na isto razdoblje 2019., po osnovi sanacije štete od potresa i po osnovi povrata namirenja nedostajućih sredstava korištenih za povrat </w:t>
      </w:r>
      <w:r w:rsidRPr="007466EF">
        <w:lastRenderedPageBreak/>
        <w:t>poreza na dohodak i prireza porezu na dohodak po godišnjim prijavama, i to u sljedećim iznosima:</w:t>
      </w:r>
    </w:p>
    <w:p w14:paraId="3DF71E60" w14:textId="77777777" w:rsidR="00B72902" w:rsidRPr="007466EF" w:rsidRDefault="00B72902" w:rsidP="00B72902">
      <w:pPr>
        <w:pStyle w:val="Odlomakpopisa"/>
        <w:keepNext/>
        <w:numPr>
          <w:ilvl w:val="0"/>
          <w:numId w:val="3"/>
        </w:numPr>
        <w:jc w:val="both"/>
      </w:pPr>
      <w:r w:rsidRPr="007466EF">
        <w:rPr>
          <w:i/>
          <w:color w:val="000000"/>
        </w:rPr>
        <w:t>8172 Povrat zajmova danih županijskim proračunima – kratkoročni 730.105,24 eura i dugoročni 77.262,53 eura,</w:t>
      </w:r>
    </w:p>
    <w:p w14:paraId="4C550D6F" w14:textId="77777777" w:rsidR="00B72902" w:rsidRPr="007466EF" w:rsidRDefault="00B72902" w:rsidP="00B72902">
      <w:pPr>
        <w:pStyle w:val="Odlomakpopisa"/>
        <w:keepNext/>
        <w:numPr>
          <w:ilvl w:val="0"/>
          <w:numId w:val="3"/>
        </w:numPr>
      </w:pPr>
      <w:r w:rsidRPr="007466EF">
        <w:rPr>
          <w:i/>
          <w:color w:val="000000"/>
        </w:rPr>
        <w:t>8173 Povrat zajmova danih gradskim proračunima – kratkoročni 970.952,68 eura i dugoročni</w:t>
      </w:r>
      <w:r w:rsidRPr="007466EF">
        <w:t xml:space="preserve"> </w:t>
      </w:r>
      <w:r w:rsidRPr="007466EF">
        <w:rPr>
          <w:i/>
          <w:color w:val="000000"/>
        </w:rPr>
        <w:t>1.767.654,62 eura</w:t>
      </w:r>
      <w:r w:rsidRPr="007466EF">
        <w:rPr>
          <w:color w:val="000000"/>
        </w:rPr>
        <w:t>,</w:t>
      </w:r>
    </w:p>
    <w:p w14:paraId="75F13CE1" w14:textId="77777777" w:rsidR="00B72902" w:rsidRPr="007466EF" w:rsidRDefault="00B72902" w:rsidP="00B72902">
      <w:pPr>
        <w:pStyle w:val="Odlomakpopisa"/>
        <w:numPr>
          <w:ilvl w:val="0"/>
          <w:numId w:val="3"/>
        </w:numPr>
        <w:tabs>
          <w:tab w:val="decimal" w:pos="7380"/>
        </w:tabs>
        <w:jc w:val="both"/>
        <w:rPr>
          <w:bCs/>
          <w:i/>
          <w:color w:val="000000"/>
        </w:rPr>
      </w:pPr>
      <w:r w:rsidRPr="007466EF">
        <w:rPr>
          <w:bCs/>
          <w:i/>
          <w:color w:val="000000"/>
        </w:rPr>
        <w:t>8174 Povrat zajmova danih općinskim proračunima – kratkoročni 2.852.178,48 eura i dugoročni</w:t>
      </w:r>
      <w:r w:rsidRPr="007466EF">
        <w:rPr>
          <w:bCs/>
          <w:color w:val="000000"/>
        </w:rPr>
        <w:t xml:space="preserve"> </w:t>
      </w:r>
      <w:r w:rsidRPr="007466EF">
        <w:rPr>
          <w:bCs/>
          <w:i/>
          <w:color w:val="000000"/>
        </w:rPr>
        <w:t>1.078.270,18 eura</w:t>
      </w:r>
      <w:r w:rsidRPr="007466EF">
        <w:rPr>
          <w:i/>
          <w:color w:val="000000"/>
        </w:rPr>
        <w:t xml:space="preserve">. </w:t>
      </w:r>
    </w:p>
    <w:p w14:paraId="42B9709C" w14:textId="77777777" w:rsidR="00B72902" w:rsidRPr="007466EF" w:rsidRDefault="00B72902" w:rsidP="00B72902">
      <w:pPr>
        <w:tabs>
          <w:tab w:val="decimal" w:pos="7380"/>
        </w:tabs>
        <w:jc w:val="both"/>
        <w:rPr>
          <w:bCs/>
          <w:color w:val="000000"/>
        </w:rPr>
      </w:pPr>
    </w:p>
    <w:p w14:paraId="5F21E7A9" w14:textId="1158FF63" w:rsidR="00B72902" w:rsidRPr="007466EF" w:rsidRDefault="00B72902" w:rsidP="00B72902">
      <w:pPr>
        <w:tabs>
          <w:tab w:val="decimal" w:pos="7380"/>
        </w:tabs>
        <w:jc w:val="both"/>
        <w:rPr>
          <w:bCs/>
          <w:color w:val="000000"/>
        </w:rPr>
      </w:pPr>
      <w:r w:rsidRPr="007466EF">
        <w:rPr>
          <w:bCs/>
          <w:color w:val="000000"/>
        </w:rPr>
        <w:t>Osim povrata zajmova danih županijama, gradovima i općinama, u okviru ovog primitka evidentirani su i povrati zajmova danih HZMO-u, HZZ-u i HZZO-u (šifra 8175) u iznosu od 9.268.374,00 eura, a odnose se na povrat beskamatnog zajma</w:t>
      </w:r>
      <w:r w:rsidR="000F0D22" w:rsidRPr="007466EF">
        <w:rPr>
          <w:bCs/>
          <w:color w:val="000000"/>
        </w:rPr>
        <w:t xml:space="preserve"> isplaćenog tijekom 2020.</w:t>
      </w:r>
      <w:r w:rsidRPr="007466EF">
        <w:rPr>
          <w:bCs/>
          <w:color w:val="000000"/>
        </w:rPr>
        <w:t xml:space="preserve"> Hrvatskom zavodu za zdravstveno osiguranje temeljem Naputka o načinu isplate sredstava beskamatnog zajma jedinicama lokalne i područne (regionalne) samouprave, Hrvatskom zavodu za mirovinsko osiguranje i Hrvatskom zavodu za zdravstveno osiguranje (Narodne novine, br. 46/20., 5/21. i 73/21.). </w:t>
      </w:r>
    </w:p>
    <w:p w14:paraId="32C13A2D" w14:textId="77777777" w:rsidR="00B72902" w:rsidRPr="007466EF" w:rsidRDefault="00B72902" w:rsidP="00B72902"/>
    <w:p w14:paraId="05C731C7" w14:textId="2327B76A" w:rsidR="00864F97" w:rsidRPr="007466EF" w:rsidRDefault="00864F97" w:rsidP="00864F97">
      <w:pPr>
        <w:tabs>
          <w:tab w:val="decimal" w:pos="7380"/>
        </w:tabs>
        <w:jc w:val="both"/>
      </w:pPr>
      <w:commentRangeStart w:id="3"/>
      <w:r w:rsidRPr="007466EF">
        <w:rPr>
          <w:bCs/>
          <w:color w:val="000000"/>
        </w:rPr>
        <w:t xml:space="preserve">Dodatno, u okviru ovih primitaka evidentirani su i povrati danih zajmova ostalim izvanproračunskim korisnicima državnog proračuna (šifra 8176) u iznosu od </w:t>
      </w:r>
      <w:r w:rsidR="00B72902" w:rsidRPr="007466EF">
        <w:rPr>
          <w:bCs/>
          <w:color w:val="000000"/>
        </w:rPr>
        <w:t>10.530.687,41</w:t>
      </w:r>
      <w:r w:rsidRPr="007466EF">
        <w:rPr>
          <w:bCs/>
          <w:color w:val="000000"/>
        </w:rPr>
        <w:t xml:space="preserve"> eura, od čega se najveći dio odnosi na zajmove dane</w:t>
      </w:r>
      <w:r w:rsidRPr="007466EF">
        <w:t xml:space="preserve"> Hrvatskim autocestama d.o.o., Hrvatskim cestama d.o.o. te Autocesti Rijeka – Zagreb d.d.</w:t>
      </w:r>
      <w:commentRangeEnd w:id="3"/>
      <w:r w:rsidR="005D3947">
        <w:rPr>
          <w:rStyle w:val="Referencakomentara"/>
        </w:rPr>
        <w:commentReference w:id="3"/>
      </w:r>
    </w:p>
    <w:p w14:paraId="1DCA3088" w14:textId="0D7B7C11" w:rsidR="00BC1660" w:rsidRPr="007466EF" w:rsidRDefault="00BC1660" w:rsidP="007466EF">
      <w:pPr>
        <w:jc w:val="both"/>
        <w:rPr>
          <w:color w:val="000000"/>
        </w:rPr>
      </w:pPr>
    </w:p>
    <w:p w14:paraId="7FD1FC40" w14:textId="7D51FDED" w:rsidR="00562444" w:rsidRPr="007466EF" w:rsidRDefault="00DE25D9" w:rsidP="00562444">
      <w:pPr>
        <w:keepNext/>
        <w:jc w:val="center"/>
        <w:rPr>
          <w:sz w:val="28"/>
          <w:szCs w:val="28"/>
        </w:rPr>
      </w:pPr>
      <w:r w:rsidRPr="007466EF">
        <w:rPr>
          <w:sz w:val="28"/>
          <w:szCs w:val="28"/>
        </w:rPr>
        <w:t>Bilješka 49</w:t>
      </w:r>
      <w:r w:rsidR="00562444" w:rsidRPr="007466EF">
        <w:rPr>
          <w:sz w:val="28"/>
          <w:szCs w:val="28"/>
        </w:rPr>
        <w:t>.</w:t>
      </w:r>
    </w:p>
    <w:p w14:paraId="35C71764" w14:textId="77777777" w:rsidR="00562444" w:rsidRPr="007466EF" w:rsidRDefault="00562444" w:rsidP="00562444">
      <w:pPr>
        <w:jc w:val="center"/>
        <w:rPr>
          <w:sz w:val="28"/>
          <w:szCs w:val="28"/>
        </w:rPr>
      </w:pPr>
      <w:r w:rsidRPr="007466EF">
        <w:rPr>
          <w:sz w:val="28"/>
          <w:szCs w:val="28"/>
        </w:rPr>
        <w:t>Šifra 8181 Primici od povrata depozita od kreditnih i ostalih financijskih institucija – tuzemni</w:t>
      </w:r>
    </w:p>
    <w:p w14:paraId="31D91FC9" w14:textId="5BEC9D96" w:rsidR="00562444" w:rsidRPr="007466EF" w:rsidRDefault="00562444" w:rsidP="00562444">
      <w:pPr>
        <w:jc w:val="both"/>
      </w:pPr>
      <w:r w:rsidRPr="007466EF">
        <w:t>U 2024. nije bilo ostvarenja primitaka od povrata depozita od tuzemnih kreditnih i o</w:t>
      </w:r>
      <w:r w:rsidR="00DE25D9" w:rsidRPr="007466EF">
        <w:t>stalih financijskih institucija</w:t>
      </w:r>
      <w:r w:rsidRPr="007466EF">
        <w:t xml:space="preserve"> zbog čega se bilježi stopostotno smanjenje u odnosu na isto razdoblje 2023. </w:t>
      </w:r>
    </w:p>
    <w:p w14:paraId="71A52E4B" w14:textId="77777777" w:rsidR="00562444" w:rsidRPr="007466EF" w:rsidRDefault="00562444" w:rsidP="00562444">
      <w:pPr>
        <w:jc w:val="both"/>
      </w:pPr>
    </w:p>
    <w:p w14:paraId="68EDF000" w14:textId="6BB88760" w:rsidR="00562444" w:rsidRPr="007466EF" w:rsidRDefault="00562444" w:rsidP="00562444">
      <w:pPr>
        <w:jc w:val="both"/>
      </w:pPr>
      <w:r w:rsidRPr="007466EF">
        <w:t xml:space="preserve">U 2023. ostvareno je 1.408.704.153,64 eura primitaka od povrata depozita od kreditnih i ostalih financijskih institucija – tuzemni. Za primitke s osnove povrata depozita od kreditnih i ostalih financijskih institucija – tuzemni u financijskom izvještaju državnog proračuna iskazan je iznos od 1.400.000.000,00 eura s obzirom na to da se kratkoročni primici i izdaci u financijskom izvještaju iskazuju u neto iznosu nakon što se sučele prema istovrsnim kategorijama. </w:t>
      </w:r>
    </w:p>
    <w:p w14:paraId="0B1D1A7A" w14:textId="77777777" w:rsidR="00562444" w:rsidRPr="007466EF" w:rsidRDefault="00562444" w:rsidP="00562444">
      <w:pPr>
        <w:jc w:val="both"/>
      </w:pPr>
    </w:p>
    <w:p w14:paraId="768D7210" w14:textId="05478DAD" w:rsidR="00562444" w:rsidRPr="007466EF" w:rsidRDefault="00562444" w:rsidP="00562444">
      <w:pPr>
        <w:jc w:val="both"/>
      </w:pPr>
      <w:r w:rsidRPr="007466EF">
        <w:t>Nai</w:t>
      </w:r>
      <w:r w:rsidR="000F0D22" w:rsidRPr="007466EF">
        <w:t>me, krajem prosinca 2022.</w:t>
      </w:r>
      <w:r w:rsidRPr="007466EF">
        <w:t xml:space="preserve"> (23. i 29. prosinca) oročeno je ukupno 1.400.000.000,00 eura ostvarenih, u najvećem iznosu, iz sredstava Europske unije, odnosno fonda Mehanizma za oporavak i otpornost u iznosu od 700.000.000,00 eura te instrumenta SURE (Europski instrument za privremenu potporu radi smanjenja rizika od nezaposlenosti u izvanrednoj situaciji) u iznosu od 548.212.500,00 eura. Sredstva su oro</w:t>
      </w:r>
      <w:r w:rsidR="000F0D22" w:rsidRPr="007466EF">
        <w:t>čena do 5. siječnja 2023</w:t>
      </w:r>
      <w:r w:rsidRPr="007466EF">
        <w:t>.</w:t>
      </w:r>
    </w:p>
    <w:p w14:paraId="2B5DD569" w14:textId="77777777" w:rsidR="00562444" w:rsidRPr="007466EF" w:rsidRDefault="00562444" w:rsidP="00562444">
      <w:pPr>
        <w:jc w:val="both"/>
      </w:pPr>
    </w:p>
    <w:p w14:paraId="49D0F1E3" w14:textId="77777777" w:rsidR="00562444" w:rsidRPr="007466EF" w:rsidRDefault="00562444" w:rsidP="00562444">
      <w:pPr>
        <w:jc w:val="both"/>
      </w:pPr>
      <w:r w:rsidRPr="007466EF">
        <w:t>Sukladno članku 32. stavku 4. Pravilnika o proračunskom računovodstvu i Računskom planu kratkoročni depoziti evidentiraju se zaduženjem odgovarajućeg računa skupine 12 i odobrenjem računa novčanih sredstava, a dugoročni depoziti i kratkoročni depoziti koji se vraćaju u sljedećoj godini evidentiraju se i preko odgovarajućih računa razreda 5 Izdaci za financijsku imovinu i otplate zajmova i 8 Primici od financijske imovine i zaduživanja. Navedena odredba razlog je zašto je u Izvještaju o prihodima i rashodima, primicima i izdacima (izvještaj PR-RAS) iskazan primitak od povrata depozita u kreditnim i ostalim institucijama.</w:t>
      </w:r>
    </w:p>
    <w:p w14:paraId="6FDC7C03" w14:textId="77777777" w:rsidR="00562444" w:rsidRPr="007466EF" w:rsidRDefault="00562444" w:rsidP="00562444">
      <w:pPr>
        <w:jc w:val="both"/>
      </w:pPr>
    </w:p>
    <w:p w14:paraId="788E642A" w14:textId="77777777" w:rsidR="00562444" w:rsidRPr="007466EF" w:rsidRDefault="00562444" w:rsidP="00562444">
      <w:pPr>
        <w:jc w:val="both"/>
      </w:pPr>
      <w:r w:rsidRPr="007466EF">
        <w:lastRenderedPageBreak/>
        <w:t>Kratkoročni primici i izdaci u Glavnoj knjizi državnog proračuna evidentiraju se sukladno odredbama Zakona o proračunu po bruto načelu odnosno u punom iznosu. Sukladno Uputi o primjeni modificiranog novčanog načela u postupku planiranja i izvršavanja državnog proračuna i financijskih planova izvanproračunskih korisnika državnog proračuna (KLASA: 401-01/15-01/131, URBROJ: 513-05-03-19-3) kratkoročni primici i izdaci planiraju se i iskazuju u neto iznosu prema istovrsnim kategorijama. U financijskom izvještaju državnog proračuna kratkoročni primici i izdaci iskazuju se u neto iznosu nakon što se iznosi kratkoročnih primitaka i izdataka međusobno sučele prema istovrsnim kategorijama.</w:t>
      </w:r>
    </w:p>
    <w:p w14:paraId="49E3D797" w14:textId="77777777" w:rsidR="00864F97" w:rsidRPr="007466EF" w:rsidRDefault="00864F97" w:rsidP="00864F97">
      <w:pPr>
        <w:jc w:val="both"/>
        <w:rPr>
          <w:color w:val="000000"/>
        </w:rPr>
      </w:pPr>
    </w:p>
    <w:p w14:paraId="44D28C1B" w14:textId="46A556DD" w:rsidR="00864F97" w:rsidRPr="007466EF" w:rsidRDefault="00DE25D9" w:rsidP="00864F97">
      <w:pPr>
        <w:jc w:val="center"/>
        <w:rPr>
          <w:sz w:val="28"/>
          <w:szCs w:val="28"/>
        </w:rPr>
      </w:pPr>
      <w:r w:rsidRPr="007466EF">
        <w:rPr>
          <w:sz w:val="28"/>
          <w:szCs w:val="28"/>
        </w:rPr>
        <w:t>Bilješka 50</w:t>
      </w:r>
      <w:r w:rsidR="00864F97" w:rsidRPr="007466EF">
        <w:rPr>
          <w:sz w:val="28"/>
          <w:szCs w:val="28"/>
        </w:rPr>
        <w:t>.</w:t>
      </w:r>
    </w:p>
    <w:p w14:paraId="5C55AFE3" w14:textId="77777777" w:rsidR="00864F97" w:rsidRPr="007466EF" w:rsidRDefault="00864F97" w:rsidP="00864F97">
      <w:pPr>
        <w:jc w:val="center"/>
        <w:rPr>
          <w:sz w:val="28"/>
        </w:rPr>
      </w:pPr>
      <w:r w:rsidRPr="007466EF">
        <w:rPr>
          <w:sz w:val="28"/>
        </w:rPr>
        <w:t>Šifra 8211 Trezorski zapisi - tuzemni</w:t>
      </w:r>
    </w:p>
    <w:p w14:paraId="4658568A" w14:textId="1F3970B6" w:rsidR="00562444" w:rsidRPr="007466EF" w:rsidRDefault="00562444" w:rsidP="00864F97">
      <w:pPr>
        <w:jc w:val="both"/>
      </w:pPr>
      <w:r w:rsidRPr="007466EF">
        <w:t>Primici od tuzemnih trezorskih zapisa u 2024. ostvareni su u iznosu od 4.203.677.119,87 eura. Za primitke s osnove tuzemnih trezorskih zapisa u financijskom izvještaju Državnog proračuna iskazan je iznos od 643.368.309,30 eura s obzirom na to da se kratkoročni primici i izdaci iskazuju u neto iznosu nakon što se sučele prema istovrsnim kategorijama.</w:t>
      </w:r>
    </w:p>
    <w:p w14:paraId="46CB1E1F" w14:textId="676A2FB8" w:rsidR="00864F97" w:rsidRPr="007466EF" w:rsidRDefault="00864F97" w:rsidP="00864F97">
      <w:pPr>
        <w:jc w:val="both"/>
      </w:pPr>
    </w:p>
    <w:p w14:paraId="7638DB39" w14:textId="53790D69" w:rsidR="00AA2766" w:rsidRPr="007466EF" w:rsidRDefault="00AA2766" w:rsidP="00AA2766">
      <w:pPr>
        <w:jc w:val="both"/>
      </w:pPr>
      <w:r w:rsidRPr="007466EF">
        <w:t xml:space="preserve">Ministarstvo financija uz tradicionalno provođenje aukcija trezorskih zapisa za institucionalne investitore putem elektroničkog aukcijskog sustava </w:t>
      </w:r>
      <w:proofErr w:type="spellStart"/>
      <w:r w:rsidRPr="007466EF">
        <w:t>Bloomberg</w:t>
      </w:r>
      <w:proofErr w:type="spellEnd"/>
      <w:r w:rsidRPr="007466EF">
        <w:t xml:space="preserve"> (BAS), omogućilo je i izravno sudjelovanje građana u upisu trezorskih zapisa putem poslovnica Fine, te razvojem digitalne distribucijske platforme E-RIZNICA. </w:t>
      </w:r>
    </w:p>
    <w:p w14:paraId="6604488A" w14:textId="77777777" w:rsidR="00AA2766" w:rsidRPr="007466EF" w:rsidRDefault="00AA2766" w:rsidP="00AA2766">
      <w:pPr>
        <w:jc w:val="both"/>
      </w:pPr>
    </w:p>
    <w:p w14:paraId="7E3F01C7" w14:textId="77777777" w:rsidR="00AA2766" w:rsidRPr="007466EF" w:rsidRDefault="00AA2766" w:rsidP="00AA2766">
      <w:pPr>
        <w:jc w:val="both"/>
      </w:pPr>
      <w:r w:rsidRPr="007466EF">
        <w:t xml:space="preserve">Izdanja trezorskih zapisa provode se u dva kruga upisa. Prvi krug upisa, sukladno Javnom pozivu i Dokumentu ponude, namijenjen je fizičkim osobama, dok je drugi krug upisa, sukladno Pravilima i uvjetima aukcija trezorskih zapisa, namijenjen institucionalnim investitorima. </w:t>
      </w:r>
    </w:p>
    <w:p w14:paraId="52343B09" w14:textId="77777777" w:rsidR="00AA2766" w:rsidRPr="007466EF" w:rsidRDefault="00AA2766" w:rsidP="00AA2766">
      <w:pPr>
        <w:jc w:val="both"/>
      </w:pPr>
    </w:p>
    <w:p w14:paraId="38C998F8" w14:textId="2C74F4FC" w:rsidR="00AA2766" w:rsidRPr="007466EF" w:rsidRDefault="000F0D22" w:rsidP="00AA2766">
      <w:pPr>
        <w:jc w:val="both"/>
      </w:pPr>
      <w:r w:rsidRPr="007466EF">
        <w:t>Tijekom 2024.</w:t>
      </w:r>
      <w:r w:rsidR="00AA2766" w:rsidRPr="007466EF">
        <w:t xml:space="preserve"> bilo je održano pet upisa (1. i 2. krug) na kojima je bilo ukupno sedam izdanja trezorskih zapisa, od čega su četiri izdanja s rokom dospijeća od 91 dan i tri izdanja s rokom dospijeća od 364 dana.</w:t>
      </w:r>
    </w:p>
    <w:p w14:paraId="28FE2DA0" w14:textId="77777777" w:rsidR="00AA2766" w:rsidRPr="007466EF" w:rsidRDefault="00AA2766" w:rsidP="00AA2766">
      <w:pPr>
        <w:jc w:val="both"/>
      </w:pPr>
    </w:p>
    <w:p w14:paraId="11AC2501" w14:textId="20D94BD4" w:rsidR="00864F97" w:rsidRPr="007466EF" w:rsidRDefault="00AA2766" w:rsidP="00AA2766">
      <w:pPr>
        <w:jc w:val="both"/>
      </w:pPr>
      <w:r w:rsidRPr="007466EF">
        <w:t>Tako je ukupno uplaćen iznos temeljem upisanih trezorskih zapisa iznosio 4.203 milijuna eura. Kako j</w:t>
      </w:r>
      <w:r w:rsidR="000F0D22" w:rsidRPr="007466EF">
        <w:t>e do kraja prosinca 2024.</w:t>
      </w:r>
      <w:r w:rsidRPr="007466EF">
        <w:t xml:space="preserve"> dospjelo i iskupljeno 3.560 milijuna eura trezorskih zapisa, neto efekt izdanja trezorskih zapisa je iznosio 643,4 milijuna eura.</w:t>
      </w:r>
    </w:p>
    <w:p w14:paraId="141440A7" w14:textId="77777777" w:rsidR="00864F97" w:rsidRPr="007466EF" w:rsidRDefault="00864F97" w:rsidP="00864F97">
      <w:pPr>
        <w:jc w:val="both"/>
      </w:pPr>
    </w:p>
    <w:p w14:paraId="6800FD5D" w14:textId="642A9035" w:rsidR="00864F97" w:rsidRPr="007466EF" w:rsidRDefault="00864F97" w:rsidP="00864F97">
      <w:pPr>
        <w:jc w:val="both"/>
      </w:pPr>
      <w:r w:rsidRPr="007466EF">
        <w:t>Kratkoročni primici i izdaci u Glavnoj knjizi državnog proračuna evidentiraju se sukladno odredbama Zakona o proračunu po bruto načelu odnosno u punom iznosu. Sukladno Uputi o primjeni modificiranog novčanog načela u postupku planiranja i izvršavanja državnog proračuna i financijskih planova izvanproračunskih korisnika državnog proračuna (KLASA: 401-01/15-01/131, URBROJ: 513-05-03-19-3) kratkoročni primici i izdaci planiraju se i iskazuju u neto iznosu prema istovrsnim kategorijama. U financijskom izvještaju državnog proračuna kratkoročni primici i izdaci iskazuju se u neto iznosu nakon što se iznosi kratkoročnih primitaka i izdataka međusobno sučele prema istovrsnim kategorijama.</w:t>
      </w:r>
    </w:p>
    <w:p w14:paraId="4FEB1CAA" w14:textId="77777777" w:rsidR="00AA2766" w:rsidRPr="007466EF" w:rsidRDefault="00AA2766" w:rsidP="00864F97">
      <w:pPr>
        <w:jc w:val="both"/>
        <w:rPr>
          <w:color w:val="000000"/>
        </w:rPr>
      </w:pPr>
    </w:p>
    <w:p w14:paraId="0904C98E" w14:textId="2FDEA545" w:rsidR="00864F97" w:rsidRPr="007466EF" w:rsidRDefault="00562444" w:rsidP="00864F97">
      <w:pPr>
        <w:keepNext/>
        <w:jc w:val="center"/>
        <w:rPr>
          <w:sz w:val="28"/>
          <w:szCs w:val="28"/>
        </w:rPr>
      </w:pPr>
      <w:r w:rsidRPr="007466EF">
        <w:rPr>
          <w:sz w:val="28"/>
          <w:szCs w:val="28"/>
        </w:rPr>
        <w:t xml:space="preserve">Bilješka </w:t>
      </w:r>
      <w:r w:rsidR="00DE25D9" w:rsidRPr="007466EF">
        <w:rPr>
          <w:sz w:val="28"/>
          <w:szCs w:val="28"/>
        </w:rPr>
        <w:t>51</w:t>
      </w:r>
      <w:r w:rsidR="00864F97" w:rsidRPr="007466EF">
        <w:rPr>
          <w:sz w:val="28"/>
          <w:szCs w:val="28"/>
        </w:rPr>
        <w:t>.</w:t>
      </w:r>
    </w:p>
    <w:p w14:paraId="17B50E3A" w14:textId="77777777" w:rsidR="00864F97" w:rsidRPr="007466EF" w:rsidRDefault="00864F97" w:rsidP="00864F97">
      <w:pPr>
        <w:keepNext/>
        <w:jc w:val="center"/>
        <w:rPr>
          <w:sz w:val="28"/>
          <w:szCs w:val="28"/>
        </w:rPr>
      </w:pPr>
      <w:r w:rsidRPr="007466EF">
        <w:rPr>
          <w:sz w:val="28"/>
          <w:szCs w:val="28"/>
        </w:rPr>
        <w:t>Šifra 8221 Obveznice - tuzemne</w:t>
      </w:r>
    </w:p>
    <w:p w14:paraId="17EF7F0B" w14:textId="2DB4FB9A" w:rsidR="00864F97" w:rsidRPr="007466EF" w:rsidRDefault="00864F97" w:rsidP="00864F97">
      <w:pPr>
        <w:keepNext/>
        <w:jc w:val="both"/>
      </w:pPr>
      <w:r w:rsidRPr="007466EF">
        <w:t>Primici od tuzemnih obveznica u 202</w:t>
      </w:r>
      <w:r w:rsidR="00AA2766" w:rsidRPr="007466EF">
        <w:t>4</w:t>
      </w:r>
      <w:r w:rsidRPr="007466EF">
        <w:t xml:space="preserve">. ostvareni su u iznosu od </w:t>
      </w:r>
      <w:r w:rsidR="00B71610" w:rsidRPr="007466EF">
        <w:t>2.000.000.000,00 eura dok su u 2023. ostvareni u iznosu od 3.100.000.000,00 eura što predstavlja smanjenje od 35,5</w:t>
      </w:r>
      <w:r w:rsidRPr="007466EF">
        <w:t xml:space="preserve">% u </w:t>
      </w:r>
      <w:r w:rsidR="00B71610" w:rsidRPr="007466EF">
        <w:t>promatranom razdoblju.</w:t>
      </w:r>
    </w:p>
    <w:p w14:paraId="59E996C5" w14:textId="77777777" w:rsidR="00864F97" w:rsidRPr="007466EF" w:rsidRDefault="00864F97" w:rsidP="00864F97">
      <w:pPr>
        <w:jc w:val="both"/>
        <w:rPr>
          <w:color w:val="000000"/>
        </w:rPr>
      </w:pPr>
    </w:p>
    <w:p w14:paraId="4AC827EB" w14:textId="605FDDC7" w:rsidR="00AA2766" w:rsidRPr="007466EF" w:rsidRDefault="00B71610" w:rsidP="00AA2766">
      <w:pPr>
        <w:spacing w:after="200"/>
        <w:jc w:val="both"/>
        <w:rPr>
          <w:rFonts w:eastAsia="Calibri"/>
        </w:rPr>
      </w:pPr>
      <w:r w:rsidRPr="007466EF">
        <w:rPr>
          <w:rFonts w:eastAsia="Calibri"/>
        </w:rPr>
        <w:t>U srpnju 2024.</w:t>
      </w:r>
      <w:r w:rsidR="00AA2766" w:rsidRPr="007466EF">
        <w:rPr>
          <w:rFonts w:eastAsia="Calibri"/>
        </w:rPr>
        <w:t xml:space="preserve"> Republika Hrvatska realizirala je izdanje dviju obveznica na domaćem financijskom tržištu. Tzv. narodna obveznica izdana je u iznosu 750 milijuna eura te je uplaćena </w:t>
      </w:r>
      <w:r w:rsidR="00AA2766" w:rsidRPr="007466EF">
        <w:rPr>
          <w:rFonts w:eastAsia="Calibri"/>
        </w:rPr>
        <w:lastRenderedPageBreak/>
        <w:t xml:space="preserve">12. srpnja 2024., a datum dospijeća joj je 12. </w:t>
      </w:r>
      <w:r w:rsidR="000F0D22" w:rsidRPr="007466EF">
        <w:rPr>
          <w:rFonts w:eastAsia="Calibri"/>
        </w:rPr>
        <w:t>srpnja 2027</w:t>
      </w:r>
      <w:r w:rsidR="00AA2766" w:rsidRPr="007466EF">
        <w:rPr>
          <w:rFonts w:eastAsia="Calibri"/>
        </w:rPr>
        <w:t>. Obveznice su izdane po cijeni od 100,00% nominalnog iznosa uz nepromjenjivi kamatni kupon od 3,30% godišnje. Kamatni kupon isplaćivat će se jednom godišnje.</w:t>
      </w:r>
    </w:p>
    <w:p w14:paraId="7BB0498B" w14:textId="77777777" w:rsidR="00AA2766" w:rsidRPr="007466EF" w:rsidRDefault="00AA2766" w:rsidP="00AA2766">
      <w:pPr>
        <w:spacing w:after="200"/>
        <w:jc w:val="both"/>
        <w:rPr>
          <w:rFonts w:eastAsia="Calibri"/>
        </w:rPr>
      </w:pPr>
      <w:r w:rsidRPr="007466EF">
        <w:rPr>
          <w:rFonts w:eastAsia="Calibri"/>
        </w:rPr>
        <w:t xml:space="preserve">Druga obveznica u iznosu od 1,250 milijuna eura izdana je po cijeni od 99,166% nominalnog iznosa uz nepromjenjivi kamatni kupon od 3,50% godišnje. Kamatni kupon isplaćivat će se polugodišnje. Obveznice su uplaćene 12. srpnja 2024., a datum dospijeća obveznica je 12. srpnja 2034. </w:t>
      </w:r>
    </w:p>
    <w:p w14:paraId="0988EC9F" w14:textId="3C9AEDCC" w:rsidR="00FA5049" w:rsidRPr="007466EF" w:rsidRDefault="00AA2766" w:rsidP="003F4499">
      <w:pPr>
        <w:jc w:val="both"/>
      </w:pPr>
      <w:r w:rsidRPr="007466EF">
        <w:rPr>
          <w:rFonts w:eastAsia="Calibri"/>
        </w:rPr>
        <w:t>Sredstva prikupljena ovim izdanjima iskorištena su, između ostalog, za otplatu obveznica Republik</w:t>
      </w:r>
      <w:r w:rsidR="000F0D22" w:rsidRPr="007466EF">
        <w:rPr>
          <w:rFonts w:eastAsia="Calibri"/>
        </w:rPr>
        <w:t xml:space="preserve">e Hrvatske izdanih 2013. </w:t>
      </w:r>
      <w:r w:rsidRPr="007466EF">
        <w:rPr>
          <w:rFonts w:eastAsia="Calibri"/>
        </w:rPr>
        <w:t>u nominalnom iznosu od 1,4 milijarde eura, koje su dospjele i</w:t>
      </w:r>
      <w:r w:rsidR="000F0D22" w:rsidRPr="007466EF">
        <w:rPr>
          <w:rFonts w:eastAsia="Calibri"/>
        </w:rPr>
        <w:t xml:space="preserve"> isplaćene u srpnju 2024</w:t>
      </w:r>
      <w:r w:rsidRPr="007466EF">
        <w:rPr>
          <w:rFonts w:eastAsia="Calibri"/>
        </w:rPr>
        <w:t>.</w:t>
      </w:r>
    </w:p>
    <w:p w14:paraId="2817F40C" w14:textId="77777777" w:rsidR="003F4499" w:rsidRPr="007466EF" w:rsidRDefault="003F4499" w:rsidP="003F4499">
      <w:pPr>
        <w:jc w:val="both"/>
        <w:rPr>
          <w:color w:val="000000"/>
        </w:rPr>
      </w:pPr>
    </w:p>
    <w:p w14:paraId="4F58378F" w14:textId="20655819" w:rsidR="00864F97" w:rsidRPr="007466EF" w:rsidRDefault="00DE25D9" w:rsidP="00864F97">
      <w:pPr>
        <w:keepNext/>
        <w:jc w:val="center"/>
        <w:rPr>
          <w:sz w:val="28"/>
          <w:szCs w:val="28"/>
        </w:rPr>
      </w:pPr>
      <w:r w:rsidRPr="007466EF">
        <w:rPr>
          <w:sz w:val="28"/>
          <w:szCs w:val="28"/>
        </w:rPr>
        <w:t>Bilješka 52</w:t>
      </w:r>
      <w:r w:rsidR="00864F97" w:rsidRPr="007466EF">
        <w:rPr>
          <w:sz w:val="28"/>
          <w:szCs w:val="28"/>
        </w:rPr>
        <w:t>.</w:t>
      </w:r>
    </w:p>
    <w:p w14:paraId="06585A18" w14:textId="77777777" w:rsidR="00864F97" w:rsidRPr="007466EF" w:rsidRDefault="00864F97" w:rsidP="00864F97">
      <w:pPr>
        <w:keepNext/>
        <w:jc w:val="center"/>
        <w:rPr>
          <w:sz w:val="28"/>
          <w:szCs w:val="28"/>
        </w:rPr>
      </w:pPr>
      <w:r w:rsidRPr="007466EF">
        <w:rPr>
          <w:sz w:val="28"/>
          <w:szCs w:val="28"/>
        </w:rPr>
        <w:t>Šifra 8222 Obveznice - inozemne</w:t>
      </w:r>
    </w:p>
    <w:p w14:paraId="1B21F8E0" w14:textId="11421F0E" w:rsidR="003F4499" w:rsidRPr="007466EF" w:rsidRDefault="00864F97" w:rsidP="00864F97">
      <w:pPr>
        <w:keepNext/>
        <w:jc w:val="both"/>
      </w:pPr>
      <w:r w:rsidRPr="007466EF">
        <w:t>Primici od inozemnih obveznica u 202</w:t>
      </w:r>
      <w:r w:rsidR="00AA2766" w:rsidRPr="007466EF">
        <w:t>4</w:t>
      </w:r>
      <w:r w:rsidRPr="007466EF">
        <w:t>. ostvareni su u iznosu od 1.500.000.000,00 eura</w:t>
      </w:r>
      <w:r w:rsidR="003F4499" w:rsidRPr="007466EF">
        <w:t>, u istom iznosu kao i u 2023.</w:t>
      </w:r>
    </w:p>
    <w:p w14:paraId="38B0C379" w14:textId="22E7FE58" w:rsidR="00864F97" w:rsidRPr="007466EF" w:rsidRDefault="00864F97" w:rsidP="00864F97">
      <w:pPr>
        <w:keepNext/>
        <w:jc w:val="both"/>
      </w:pPr>
    </w:p>
    <w:p w14:paraId="7047C89A" w14:textId="0F63B2F6" w:rsidR="00864F97" w:rsidRPr="007466EF" w:rsidRDefault="00AA2766" w:rsidP="003F4499">
      <w:pPr>
        <w:jc w:val="both"/>
        <w:rPr>
          <w:rFonts w:eastAsia="Calibri"/>
        </w:rPr>
      </w:pPr>
      <w:r w:rsidRPr="007466EF">
        <w:rPr>
          <w:rFonts w:eastAsia="Calibri"/>
        </w:rPr>
        <w:t>Republika H</w:t>
      </w:r>
      <w:r w:rsidR="000F0D22" w:rsidRPr="007466EF">
        <w:rPr>
          <w:rFonts w:eastAsia="Calibri"/>
        </w:rPr>
        <w:t>rvatska je u ožujku 2024.</w:t>
      </w:r>
      <w:r w:rsidRPr="007466EF">
        <w:rPr>
          <w:rFonts w:eastAsia="Calibri"/>
        </w:rPr>
        <w:t xml:space="preserve"> uspješno realizirala izdanje </w:t>
      </w:r>
      <w:proofErr w:type="spellStart"/>
      <w:r w:rsidRPr="007466EF">
        <w:rPr>
          <w:rFonts w:eastAsia="Calibri"/>
        </w:rPr>
        <w:t>euroobveznice</w:t>
      </w:r>
      <w:proofErr w:type="spellEnd"/>
      <w:r w:rsidRPr="007466EF">
        <w:rPr>
          <w:rFonts w:eastAsia="Calibri"/>
        </w:rPr>
        <w:t xml:space="preserve"> na međunarodnom financijskom tržištu u iznosu 1,5 milijardi eura. Obveznice su izdane po cijeni od 99,616% nominalnog iznosa uz nepromjenjivi kamatni kupon od 3,375% godišnje, što čini prinos do dospijeća od 3,421%. Kamatni kupon isplaćivat će se jednom godišnje. Obveznice su uplaćene 12. ožujka 2024., a datum dospijeća obveznica je 12. ožujka 2034.</w:t>
      </w:r>
    </w:p>
    <w:p w14:paraId="0CE7BF5F" w14:textId="77777777" w:rsidR="00864F97" w:rsidRPr="007466EF" w:rsidRDefault="00864F97" w:rsidP="003F4499">
      <w:pPr>
        <w:jc w:val="both"/>
        <w:rPr>
          <w:color w:val="000000"/>
        </w:rPr>
      </w:pPr>
    </w:p>
    <w:p w14:paraId="31A56A11" w14:textId="07E48B50" w:rsidR="00864F97" w:rsidRPr="007466EF" w:rsidRDefault="00DE25D9" w:rsidP="00864F97">
      <w:pPr>
        <w:keepNext/>
        <w:jc w:val="center"/>
        <w:rPr>
          <w:sz w:val="28"/>
          <w:szCs w:val="28"/>
        </w:rPr>
      </w:pPr>
      <w:r w:rsidRPr="007466EF">
        <w:rPr>
          <w:sz w:val="28"/>
          <w:szCs w:val="28"/>
        </w:rPr>
        <w:t>Bilješka 53</w:t>
      </w:r>
      <w:r w:rsidR="00864F97" w:rsidRPr="007466EF">
        <w:rPr>
          <w:sz w:val="28"/>
          <w:szCs w:val="28"/>
        </w:rPr>
        <w:t>.</w:t>
      </w:r>
    </w:p>
    <w:p w14:paraId="31E2DDC0" w14:textId="77777777" w:rsidR="00864F97" w:rsidRPr="007466EF" w:rsidRDefault="00864F97" w:rsidP="00864F97">
      <w:pPr>
        <w:jc w:val="center"/>
        <w:rPr>
          <w:sz w:val="28"/>
          <w:szCs w:val="28"/>
        </w:rPr>
      </w:pPr>
      <w:r w:rsidRPr="007466EF">
        <w:rPr>
          <w:sz w:val="28"/>
          <w:szCs w:val="28"/>
        </w:rPr>
        <w:t>Šifra 83 Primici od prodaje dionica i udjela u glavnici</w:t>
      </w:r>
      <w:r w:rsidRPr="007466EF">
        <w:rPr>
          <w:rFonts w:ascii="Arial" w:hAnsi="Arial" w:cs="Arial"/>
          <w:color w:val="000000"/>
          <w:sz w:val="18"/>
          <w:szCs w:val="18"/>
        </w:rPr>
        <w:t xml:space="preserve"> </w:t>
      </w:r>
    </w:p>
    <w:p w14:paraId="6761E4D7" w14:textId="3201FF9E" w:rsidR="00864F97" w:rsidRPr="007466EF" w:rsidRDefault="00864F97" w:rsidP="00864F97">
      <w:pPr>
        <w:jc w:val="both"/>
      </w:pPr>
      <w:r w:rsidRPr="007466EF">
        <w:t>Primici od prodaje dionica i udjela u glavnici u 202</w:t>
      </w:r>
      <w:r w:rsidR="00AA2766" w:rsidRPr="007466EF">
        <w:t>4</w:t>
      </w:r>
      <w:r w:rsidR="003F4499" w:rsidRPr="007466EF">
        <w:t>.</w:t>
      </w:r>
      <w:r w:rsidRPr="007466EF">
        <w:t xml:space="preserve"> ostvareni su u iznosu od </w:t>
      </w:r>
      <w:r w:rsidR="003F4499" w:rsidRPr="007466EF">
        <w:t>24.809.937,22</w:t>
      </w:r>
      <w:r w:rsidRPr="007466EF">
        <w:t xml:space="preserve"> eura, odnosno za </w:t>
      </w:r>
      <w:r w:rsidR="003F4499" w:rsidRPr="007466EF">
        <w:t>365% više</w:t>
      </w:r>
      <w:r w:rsidRPr="007466EF">
        <w:t xml:space="preserve"> od </w:t>
      </w:r>
      <w:r w:rsidR="003F4499" w:rsidRPr="007466EF">
        <w:t>ostvarenih primitaka</w:t>
      </w:r>
      <w:r w:rsidRPr="007466EF">
        <w:t xml:space="preserve"> u istom razdoblju 202</w:t>
      </w:r>
      <w:r w:rsidR="00AA2766" w:rsidRPr="007466EF">
        <w:t>3</w:t>
      </w:r>
      <w:r w:rsidRPr="007466EF">
        <w:t>.</w:t>
      </w:r>
    </w:p>
    <w:p w14:paraId="319500FF" w14:textId="77777777" w:rsidR="00864F97" w:rsidRPr="007466EF" w:rsidRDefault="00864F97" w:rsidP="00864F97">
      <w:pPr>
        <w:rPr>
          <w:color w:val="000000"/>
        </w:rPr>
      </w:pPr>
    </w:p>
    <w:p w14:paraId="3C53F7E6" w14:textId="3A3F99D8" w:rsidR="00864F97" w:rsidRPr="007466EF" w:rsidRDefault="00864F97" w:rsidP="00864F97">
      <w:pPr>
        <w:jc w:val="both"/>
        <w:rPr>
          <w:color w:val="000000"/>
        </w:rPr>
      </w:pPr>
      <w:r w:rsidRPr="007466EF">
        <w:t>U okviru navedenog primitka ove godine najznačajniji iznos odnosi se na primitke o</w:t>
      </w:r>
      <w:r w:rsidRPr="007466EF">
        <w:rPr>
          <w:color w:val="000000"/>
        </w:rPr>
        <w:t>d prodaje dionica i udjela u glavnici tuzemnih trgovačkih društava izvan javnog sektora (šif</w:t>
      </w:r>
      <w:r w:rsidR="003F4499" w:rsidRPr="007466EF">
        <w:rPr>
          <w:color w:val="000000"/>
        </w:rPr>
        <w:t xml:space="preserve">ra 8341) u iznosu od 19.979.629,69 </w:t>
      </w:r>
      <w:r w:rsidRPr="007466EF">
        <w:rPr>
          <w:color w:val="000000"/>
        </w:rPr>
        <w:t xml:space="preserve">eura. U okviru ovog primitka evidentiraju se primici s osnove prodaje dionica u vlasništvu Republike Hrvatske i Hrvatskoga zavoda za mirovinsko osiguranje kojima upravlja Centar za restrukturiranje i prodaju temeljem Zakona </w:t>
      </w:r>
      <w:r w:rsidR="003F4499" w:rsidRPr="007466EF">
        <w:rPr>
          <w:color w:val="000000"/>
        </w:rPr>
        <w:t>o upravljanju državnom imovinom, i to od društva Hrvatski telekom d.d., Zagreb u iznosu od 14.947.451,30 eura i društva Atlantska plovidba d.d., Dubrovnik u iznosu od 3.032.482,40 eura.</w:t>
      </w:r>
    </w:p>
    <w:p w14:paraId="5F5CB761" w14:textId="77777777" w:rsidR="00AA2766" w:rsidRPr="007466EF" w:rsidRDefault="00AA2766" w:rsidP="00864F97">
      <w:pPr>
        <w:jc w:val="both"/>
      </w:pPr>
    </w:p>
    <w:p w14:paraId="7C5A1468" w14:textId="4731567F" w:rsidR="00864F97" w:rsidRPr="007466EF" w:rsidRDefault="00864F97" w:rsidP="00864F97">
      <w:pPr>
        <w:jc w:val="both"/>
      </w:pPr>
      <w:r w:rsidRPr="007466EF">
        <w:t xml:space="preserve">Primici </w:t>
      </w:r>
      <w:r w:rsidR="003F4499" w:rsidRPr="007466EF">
        <w:t xml:space="preserve">od prodaje </w:t>
      </w:r>
      <w:r w:rsidRPr="007466EF">
        <w:t xml:space="preserve">dionica i udjela u glavnici inozemnih kreditnih i ostalih financijskih institucija (šifra 8332) </w:t>
      </w:r>
      <w:r w:rsidR="003F4499" w:rsidRPr="007466EF">
        <w:t xml:space="preserve">ostvareni su u 2024. u iznosu od 3.603.351,29 eura, dok u 2023. nije bilo ostvarenih primitaka </w:t>
      </w:r>
      <w:r w:rsidR="00B9164A" w:rsidRPr="007466EF">
        <w:t>s ove osnove. Od ukupnog iznosa primitka, iznos od 3.590.130,37 eura odnosi se na otkup udjela u Investicijskom fondu Inicijative triju mora (3SIIF) do kojeg je došlo zbog viška likvidnih sredstava u fondu, dok se preostali iznos od 13.220,92 eura odnosi na sredstv</w:t>
      </w:r>
      <w:r w:rsidRPr="007466EF">
        <w:t>a region</w:t>
      </w:r>
      <w:r w:rsidR="00B9164A" w:rsidRPr="007466EF">
        <w:t>alnog fonda rizičnog kapitala. T</w:t>
      </w:r>
      <w:r w:rsidRPr="007466EF">
        <w:t xml:space="preserve">emeljem Odluke o davanju suglasnosti Ministarstvu poduzetništva i obrta, Hrvatskoj agenciji za malo gospodarstvo, inovacije i investicije </w:t>
      </w:r>
      <w:r w:rsidR="00B9164A" w:rsidRPr="007466EF">
        <w:t xml:space="preserve">dana je suglasnost </w:t>
      </w:r>
      <w:r w:rsidRPr="007466EF">
        <w:t>za preuzimanje obveza na teret sredstava Državnog proračuna RH za ra</w:t>
      </w:r>
      <w:r w:rsidR="000F0D22" w:rsidRPr="007466EF">
        <w:t>zdoblje od 2016. do 2024.</w:t>
      </w:r>
      <w:r w:rsidRPr="007466EF">
        <w:t xml:space="preserve"> za ulaganje u Enterprise </w:t>
      </w:r>
      <w:proofErr w:type="spellStart"/>
      <w:r w:rsidRPr="007466EF">
        <w:t>Innovation</w:t>
      </w:r>
      <w:proofErr w:type="spellEnd"/>
      <w:r w:rsidRPr="007466EF">
        <w:t xml:space="preserve"> </w:t>
      </w:r>
      <w:proofErr w:type="spellStart"/>
      <w:r w:rsidRPr="007466EF">
        <w:t>Fund</w:t>
      </w:r>
      <w:proofErr w:type="spellEnd"/>
      <w:r w:rsidRPr="007466EF">
        <w:t xml:space="preserve"> C.V. (Ugovor '</w:t>
      </w:r>
      <w:proofErr w:type="spellStart"/>
      <w:r w:rsidRPr="007466EF">
        <w:t>Subscription</w:t>
      </w:r>
      <w:proofErr w:type="spellEnd"/>
      <w:r w:rsidRPr="007466EF">
        <w:t xml:space="preserve"> </w:t>
      </w:r>
      <w:proofErr w:type="spellStart"/>
      <w:r w:rsidRPr="007466EF">
        <w:t>Agreement</w:t>
      </w:r>
      <w:proofErr w:type="spellEnd"/>
      <w:r w:rsidRPr="007466EF">
        <w:t xml:space="preserve"> </w:t>
      </w:r>
      <w:proofErr w:type="spellStart"/>
      <w:r w:rsidRPr="007466EF">
        <w:t>relating</w:t>
      </w:r>
      <w:proofErr w:type="spellEnd"/>
      <w:r w:rsidRPr="007466EF">
        <w:t xml:space="preserve"> to Enterprise </w:t>
      </w:r>
      <w:proofErr w:type="spellStart"/>
      <w:r w:rsidRPr="007466EF">
        <w:t>Innovation</w:t>
      </w:r>
      <w:proofErr w:type="spellEnd"/>
      <w:r w:rsidRPr="007466EF">
        <w:t xml:space="preserve"> </w:t>
      </w:r>
      <w:proofErr w:type="spellStart"/>
      <w:r w:rsidRPr="007466EF">
        <w:t>Fund</w:t>
      </w:r>
      <w:proofErr w:type="spellEnd"/>
      <w:r w:rsidRPr="007466EF">
        <w:t xml:space="preserve"> C.V.). Sredstva fonda se ulažu u tvrtke s namjerom da se s vremenom vlasnički udjeli pro</w:t>
      </w:r>
      <w:r w:rsidR="00B9164A" w:rsidRPr="007466EF">
        <w:t>daju i vrate u Državni proračun.</w:t>
      </w:r>
    </w:p>
    <w:p w14:paraId="27586351" w14:textId="04E6F265" w:rsidR="00F460D8" w:rsidRPr="007466EF" w:rsidRDefault="00F460D8" w:rsidP="00864F97">
      <w:pPr>
        <w:jc w:val="both"/>
        <w:rPr>
          <w:color w:val="000000"/>
        </w:rPr>
      </w:pPr>
    </w:p>
    <w:p w14:paraId="1C1250EE" w14:textId="39C6E587" w:rsidR="00ED75F3" w:rsidRPr="007466EF" w:rsidRDefault="00ED75F3" w:rsidP="00ED75F3">
      <w:pPr>
        <w:jc w:val="center"/>
        <w:rPr>
          <w:sz w:val="28"/>
          <w:szCs w:val="28"/>
        </w:rPr>
      </w:pPr>
      <w:r w:rsidRPr="007466EF">
        <w:rPr>
          <w:sz w:val="28"/>
          <w:szCs w:val="28"/>
        </w:rPr>
        <w:t xml:space="preserve">Bilješka </w:t>
      </w:r>
      <w:r w:rsidR="0062560F" w:rsidRPr="007466EF">
        <w:rPr>
          <w:sz w:val="28"/>
          <w:szCs w:val="28"/>
        </w:rPr>
        <w:t>54</w:t>
      </w:r>
      <w:r w:rsidRPr="007466EF">
        <w:rPr>
          <w:sz w:val="28"/>
          <w:szCs w:val="28"/>
        </w:rPr>
        <w:t xml:space="preserve">. </w:t>
      </w:r>
    </w:p>
    <w:p w14:paraId="05B7877E" w14:textId="77777777" w:rsidR="00ED75F3" w:rsidRPr="007466EF" w:rsidRDefault="00ED75F3" w:rsidP="00ED75F3">
      <w:pPr>
        <w:jc w:val="center"/>
        <w:rPr>
          <w:sz w:val="28"/>
          <w:szCs w:val="28"/>
        </w:rPr>
      </w:pPr>
      <w:r w:rsidRPr="007466EF">
        <w:rPr>
          <w:sz w:val="28"/>
          <w:szCs w:val="28"/>
        </w:rPr>
        <w:lastRenderedPageBreak/>
        <w:t>Šifra 8413 Primljeni zajmovi od međunarodnih organizacija</w:t>
      </w:r>
    </w:p>
    <w:p w14:paraId="3BCB3C0A" w14:textId="65781DFC" w:rsidR="00ED75F3" w:rsidRPr="007466EF" w:rsidRDefault="00ED75F3" w:rsidP="007466EF">
      <w:pPr>
        <w:tabs>
          <w:tab w:val="left" w:pos="180"/>
          <w:tab w:val="left" w:pos="540"/>
        </w:tabs>
        <w:jc w:val="both"/>
      </w:pPr>
      <w:r w:rsidRPr="007466EF">
        <w:t>Primljeni zajmovi od međunarodnih organizacija u 2023. ostvareni su u iznosu od 15.252.994,00 eur</w:t>
      </w:r>
      <w:r w:rsidR="0062560F" w:rsidRPr="007466EF">
        <w:t>a, dok su u istom razdoblju 2024</w:t>
      </w:r>
      <w:r w:rsidRPr="007466EF">
        <w:t xml:space="preserve">. </w:t>
      </w:r>
      <w:r w:rsidR="0062560F" w:rsidRPr="007466EF">
        <w:t>nije bilo primitaka s ove osnove</w:t>
      </w:r>
      <w:r w:rsidRPr="007466EF">
        <w:t>. Iznos ostvarenih primitaka od zajmova od međunarodnih organizacija u iznosu od 1</w:t>
      </w:r>
      <w:r w:rsidR="000F0D22" w:rsidRPr="007466EF">
        <w:t>5,2 milijuna eura u 2023.</w:t>
      </w:r>
      <w:r w:rsidRPr="007466EF">
        <w:t xml:space="preserve"> odnosi</w:t>
      </w:r>
      <w:r w:rsidR="0062560F" w:rsidRPr="007466EF">
        <w:t>o</w:t>
      </w:r>
      <w:r w:rsidRPr="007466EF">
        <w:t xml:space="preserve"> se na IBRD zajam br. 90570 (Projekt učinkovitog pravosuđa za bolje poslovno okruženje). Ovim projektom financira se Projekt učinkovitog pravosuđa za bolje poslovno okruženje čija je svrha podrška Republici Hrvatskoj u daljnjem osnaživanju gospodarske klime i unaprjeđenju poslovnog okruženja s fokusom na podršku pravosudnom sektoru sa stajališta učinkovitosti, transparentnosti i troška.</w:t>
      </w:r>
    </w:p>
    <w:p w14:paraId="53EA934C" w14:textId="77777777" w:rsidR="00ED75F3" w:rsidRPr="007466EF" w:rsidRDefault="00ED75F3" w:rsidP="007466EF">
      <w:pPr>
        <w:jc w:val="both"/>
        <w:rPr>
          <w:color w:val="000000"/>
        </w:rPr>
      </w:pPr>
    </w:p>
    <w:p w14:paraId="43781B8D" w14:textId="41CCFF42" w:rsidR="00864F97" w:rsidRPr="007466EF" w:rsidRDefault="0062560F" w:rsidP="00864F97">
      <w:pPr>
        <w:jc w:val="center"/>
        <w:rPr>
          <w:sz w:val="28"/>
          <w:szCs w:val="28"/>
        </w:rPr>
      </w:pPr>
      <w:r w:rsidRPr="007466EF">
        <w:rPr>
          <w:sz w:val="28"/>
          <w:szCs w:val="28"/>
        </w:rPr>
        <w:t>Bilješka 55</w:t>
      </w:r>
      <w:r w:rsidR="00864F97" w:rsidRPr="007466EF">
        <w:rPr>
          <w:sz w:val="28"/>
          <w:szCs w:val="28"/>
        </w:rPr>
        <w:t xml:space="preserve">. </w:t>
      </w:r>
    </w:p>
    <w:p w14:paraId="71C5C723" w14:textId="02BBA61B" w:rsidR="00864F97" w:rsidRPr="007466EF" w:rsidRDefault="00864F97" w:rsidP="00864F97">
      <w:pPr>
        <w:jc w:val="center"/>
        <w:rPr>
          <w:sz w:val="28"/>
          <w:szCs w:val="28"/>
        </w:rPr>
      </w:pPr>
      <w:r w:rsidRPr="007466EF">
        <w:rPr>
          <w:sz w:val="28"/>
          <w:szCs w:val="28"/>
        </w:rPr>
        <w:t>Šif</w:t>
      </w:r>
      <w:r w:rsidR="00024422">
        <w:rPr>
          <w:sz w:val="28"/>
          <w:szCs w:val="28"/>
        </w:rPr>
        <w:t>ra 84</w:t>
      </w:r>
      <w:r w:rsidR="0062560F" w:rsidRPr="007466EF">
        <w:rPr>
          <w:sz w:val="28"/>
          <w:szCs w:val="28"/>
        </w:rPr>
        <w:t>14</w:t>
      </w:r>
      <w:r w:rsidRPr="007466EF">
        <w:t xml:space="preserve"> </w:t>
      </w:r>
      <w:r w:rsidR="0062560F" w:rsidRPr="007466EF">
        <w:rPr>
          <w:sz w:val="28"/>
          <w:szCs w:val="28"/>
        </w:rPr>
        <w:t>Primljeni krediti i zajmovi od institucija i tijela EU</w:t>
      </w:r>
      <w:r w:rsidRPr="007466EF">
        <w:rPr>
          <w:sz w:val="28"/>
          <w:szCs w:val="28"/>
        </w:rPr>
        <w:t xml:space="preserve"> </w:t>
      </w:r>
    </w:p>
    <w:p w14:paraId="4F03500C" w14:textId="05EABD16" w:rsidR="00834692" w:rsidRPr="007466EF" w:rsidRDefault="0062560F" w:rsidP="00864F97">
      <w:pPr>
        <w:tabs>
          <w:tab w:val="left" w:pos="180"/>
          <w:tab w:val="left" w:pos="540"/>
        </w:tabs>
        <w:spacing w:after="120"/>
        <w:jc w:val="both"/>
      </w:pPr>
      <w:r w:rsidRPr="007466EF">
        <w:t xml:space="preserve">Primljeni krediti i zajmovi od institucija i tijela EU </w:t>
      </w:r>
      <w:r w:rsidR="00FC3F33" w:rsidRPr="007466EF">
        <w:t xml:space="preserve">u 2024. </w:t>
      </w:r>
      <w:r w:rsidR="00D95455" w:rsidRPr="007466EF">
        <w:t xml:space="preserve">ostvareni su u iznosu od </w:t>
      </w:r>
      <w:r w:rsidRPr="007466EF">
        <w:t>833.084.512,00</w:t>
      </w:r>
      <w:r w:rsidR="00D95455" w:rsidRPr="007466EF">
        <w:t xml:space="preserve"> eura</w:t>
      </w:r>
      <w:r w:rsidR="00834692" w:rsidRPr="007466EF">
        <w:t xml:space="preserve"> dok su u 2023. ostvareni u iznosu od </w:t>
      </w:r>
      <w:r w:rsidRPr="007466EF">
        <w:t>16.590.351,00</w:t>
      </w:r>
      <w:r w:rsidR="00834692" w:rsidRPr="007466EF">
        <w:t xml:space="preserve"> eura što predstavlja </w:t>
      </w:r>
      <w:r w:rsidRPr="007466EF">
        <w:t xml:space="preserve">značajno povećanje </w:t>
      </w:r>
      <w:r w:rsidR="00D95455" w:rsidRPr="007466EF">
        <w:t xml:space="preserve">u </w:t>
      </w:r>
      <w:r w:rsidR="00834692" w:rsidRPr="007466EF">
        <w:t>promatranom razdoblju.</w:t>
      </w:r>
    </w:p>
    <w:p w14:paraId="61360B75" w14:textId="52DE4EA3" w:rsidR="00834692" w:rsidRPr="007466EF" w:rsidRDefault="00864F97" w:rsidP="00834692">
      <w:pPr>
        <w:tabs>
          <w:tab w:val="left" w:pos="180"/>
          <w:tab w:val="left" w:pos="540"/>
        </w:tabs>
        <w:jc w:val="both"/>
      </w:pPr>
      <w:r w:rsidRPr="007466EF">
        <w:t>U okvi</w:t>
      </w:r>
      <w:r w:rsidR="00834692" w:rsidRPr="007466EF">
        <w:t>ru navedenog primitka u 2024.</w:t>
      </w:r>
      <w:r w:rsidRPr="007466EF">
        <w:t xml:space="preserve"> </w:t>
      </w:r>
      <w:r w:rsidR="00834692" w:rsidRPr="007466EF">
        <w:t>iznos od 795.903.810,00 eura odnosi se na primitak s osnove zajma u okviru Nacionalnog plana oporavka i otpornosti, dok se preostali iznos od 37.180.702,00 eura odnosi na sredstva za provedbu financijskog instrumenta sukladno Nacionalnom planu za oporavak i otpornost usvojenog od strane Vlade RH i odobrenog od strane Europske komisije temeljem Provedbene Odluke Vijeća Europske unije o odobrenju ocjene plana za oporavak i otpornost Hrvatske od 20. srpnja 2021. (</w:t>
      </w:r>
      <w:proofErr w:type="spellStart"/>
      <w:r w:rsidR="00834692" w:rsidRPr="007466EF">
        <w:t>Međuinstitucijski</w:t>
      </w:r>
      <w:proofErr w:type="spellEnd"/>
      <w:r w:rsidR="00834692" w:rsidRPr="007466EF">
        <w:t xml:space="preserve"> predmet: 2021/0222 (NLE).</w:t>
      </w:r>
    </w:p>
    <w:p w14:paraId="6AD8F72B" w14:textId="7CBDB3EA" w:rsidR="00F81C5A" w:rsidRPr="007466EF" w:rsidRDefault="00F81C5A" w:rsidP="00F81C5A">
      <w:pPr>
        <w:pStyle w:val="StandardWeb"/>
        <w:shd w:val="clear" w:color="auto" w:fill="FFFFFF"/>
        <w:jc w:val="both"/>
        <w:rPr>
          <w:color w:val="000000"/>
        </w:rPr>
      </w:pPr>
      <w:r w:rsidRPr="007466EF">
        <w:rPr>
          <w:color w:val="000000"/>
        </w:rPr>
        <w:t xml:space="preserve">Mehanizam za oporavak i otpornost privremeni je instrument pomoću kojeg Europska unija prikuplja sredstva zaduživanjem na tržištima kapitala (izdavanjem obveznica u ime EU-a), a sredstva zatim stavlja na raspolaganje državama članicama za provedbu reformi i ulaganja kako bi svoja gospodarstva i društva učinila održivijima, otpornijima i spremnijima za zelenu i digitalnu tranziciju. </w:t>
      </w:r>
    </w:p>
    <w:p w14:paraId="208F23D6" w14:textId="654941F5" w:rsidR="00F81C5A" w:rsidRPr="007466EF" w:rsidRDefault="00F81C5A" w:rsidP="00F81C5A">
      <w:pPr>
        <w:pStyle w:val="StandardWeb"/>
        <w:shd w:val="clear" w:color="auto" w:fill="FFFFFF"/>
        <w:jc w:val="both"/>
        <w:rPr>
          <w:color w:val="000000"/>
        </w:rPr>
      </w:pPr>
      <w:r w:rsidRPr="007466EF">
        <w:rPr>
          <w:color w:val="000000"/>
        </w:rPr>
        <w:t xml:space="preserve">Mehanizam za oporavak i otpornost stupio je na snagu 19. veljače 2021., a njime se financiraju reforme i ulaganja koje države članice EU-a provode od početka </w:t>
      </w:r>
      <w:proofErr w:type="spellStart"/>
      <w:r w:rsidRPr="007466EF">
        <w:rPr>
          <w:color w:val="000000"/>
        </w:rPr>
        <w:t>pandemije</w:t>
      </w:r>
      <w:proofErr w:type="spellEnd"/>
      <w:r w:rsidRPr="007466EF">
        <w:rPr>
          <w:color w:val="000000"/>
        </w:rPr>
        <w:t xml:space="preserve"> u veljači 2020. sve do 31. prosinca 2026. Dodatno, ciljanim izmjenama Uredbe o Mehanizmu za oporavak i otpornost koje su stupile na snagu 1. ožujka 2023. omogućena su dodatna sredstva za provedbu reformi i ulaganja, u okviru </w:t>
      </w:r>
      <w:proofErr w:type="spellStart"/>
      <w:r w:rsidRPr="007466EF">
        <w:rPr>
          <w:color w:val="000000"/>
        </w:rPr>
        <w:t>REPowerEU</w:t>
      </w:r>
      <w:proofErr w:type="spellEnd"/>
      <w:r w:rsidRPr="007466EF">
        <w:rPr>
          <w:color w:val="000000"/>
        </w:rPr>
        <w:t xml:space="preserve"> poglavlja, od veljače 2022. do 31. prosinca 2026.</w:t>
      </w:r>
    </w:p>
    <w:p w14:paraId="67E2CAC9" w14:textId="77777777" w:rsidR="00AE39F6" w:rsidRPr="007466EF" w:rsidRDefault="00F81C5A" w:rsidP="00AE39F6">
      <w:pPr>
        <w:pStyle w:val="StandardWeb"/>
        <w:shd w:val="clear" w:color="auto" w:fill="FFFFFF"/>
        <w:spacing w:after="0" w:afterAutospacing="0"/>
        <w:jc w:val="both"/>
        <w:rPr>
          <w:color w:val="000000"/>
        </w:rPr>
      </w:pPr>
      <w:r w:rsidRPr="007466EF">
        <w:rPr>
          <w:color w:val="000000"/>
        </w:rPr>
        <w:t>Republici Hrvatskoj na raspolaganju su sredstva iz Mehanizma za oporavak i otpornost u ukupnom iznosu od 10,04 milijarde eura koja čine:</w:t>
      </w:r>
    </w:p>
    <w:p w14:paraId="11D7CE0C" w14:textId="77777777" w:rsidR="00AE39F6" w:rsidRPr="007466EF" w:rsidRDefault="00F81C5A" w:rsidP="00AE39F6">
      <w:pPr>
        <w:pStyle w:val="StandardWeb"/>
        <w:numPr>
          <w:ilvl w:val="0"/>
          <w:numId w:val="20"/>
        </w:numPr>
        <w:shd w:val="clear" w:color="auto" w:fill="FFFFFF"/>
        <w:spacing w:before="0" w:beforeAutospacing="0" w:after="0" w:afterAutospacing="0"/>
        <w:jc w:val="both"/>
        <w:rPr>
          <w:color w:val="000000"/>
        </w:rPr>
      </w:pPr>
      <w:r w:rsidRPr="007466EF">
        <w:rPr>
          <w:color w:val="000000"/>
        </w:rPr>
        <w:t>bespovratna sredstava u iznosu od 5,8 milijardi eura (</w:t>
      </w:r>
      <w:r w:rsidR="00AE39F6" w:rsidRPr="007466EF">
        <w:rPr>
          <w:color w:val="000000"/>
        </w:rPr>
        <w:t>5.786.544.628,00 eura</w:t>
      </w:r>
      <w:r w:rsidRPr="007466EF">
        <w:rPr>
          <w:color w:val="000000"/>
        </w:rPr>
        <w:t xml:space="preserve">) i </w:t>
      </w:r>
    </w:p>
    <w:p w14:paraId="0C67C549" w14:textId="73795C53" w:rsidR="00F81C5A" w:rsidRPr="007466EF" w:rsidRDefault="00F81C5A" w:rsidP="00AE39F6">
      <w:pPr>
        <w:pStyle w:val="StandardWeb"/>
        <w:numPr>
          <w:ilvl w:val="0"/>
          <w:numId w:val="20"/>
        </w:numPr>
        <w:shd w:val="clear" w:color="auto" w:fill="FFFFFF"/>
        <w:spacing w:after="0" w:afterAutospacing="0"/>
        <w:jc w:val="both"/>
        <w:rPr>
          <w:color w:val="000000"/>
        </w:rPr>
      </w:pPr>
      <w:r w:rsidRPr="007466EF">
        <w:rPr>
          <w:color w:val="000000"/>
        </w:rPr>
        <w:t>sredstva zajma u iznosu od 4,2 milijarde eura (</w:t>
      </w:r>
      <w:r w:rsidR="00AE39F6" w:rsidRPr="007466EF">
        <w:rPr>
          <w:color w:val="000000"/>
        </w:rPr>
        <w:t>4.254.156.972,00 eura</w:t>
      </w:r>
      <w:r w:rsidRPr="007466EF">
        <w:rPr>
          <w:color w:val="000000"/>
        </w:rPr>
        <w:t>).</w:t>
      </w:r>
    </w:p>
    <w:p w14:paraId="57296CC7" w14:textId="2B37829F" w:rsidR="00D50D8F" w:rsidRDefault="00D50D8F" w:rsidP="007466EF">
      <w:pPr>
        <w:jc w:val="both"/>
        <w:rPr>
          <w:color w:val="000000"/>
        </w:rPr>
      </w:pPr>
    </w:p>
    <w:p w14:paraId="0B9ADC37" w14:textId="77777777" w:rsidR="007466EF" w:rsidRPr="007466EF" w:rsidRDefault="007466EF" w:rsidP="007466EF">
      <w:pPr>
        <w:jc w:val="both"/>
        <w:rPr>
          <w:color w:val="000000"/>
        </w:rPr>
      </w:pPr>
    </w:p>
    <w:p w14:paraId="7E070395" w14:textId="4CF45E68" w:rsidR="00D50D8F" w:rsidRPr="007466EF" w:rsidRDefault="0062560F" w:rsidP="00D50D8F">
      <w:pPr>
        <w:jc w:val="center"/>
        <w:rPr>
          <w:sz w:val="28"/>
          <w:szCs w:val="28"/>
        </w:rPr>
      </w:pPr>
      <w:r w:rsidRPr="007466EF">
        <w:rPr>
          <w:sz w:val="28"/>
          <w:szCs w:val="28"/>
        </w:rPr>
        <w:t>Bilješka 56</w:t>
      </w:r>
      <w:r w:rsidR="00D50D8F" w:rsidRPr="007466EF">
        <w:rPr>
          <w:sz w:val="28"/>
          <w:szCs w:val="28"/>
        </w:rPr>
        <w:t xml:space="preserve">. </w:t>
      </w:r>
    </w:p>
    <w:p w14:paraId="6E2157B3" w14:textId="77777777" w:rsidR="00D50D8F" w:rsidRPr="007466EF" w:rsidRDefault="00D50D8F" w:rsidP="00D50D8F">
      <w:pPr>
        <w:pStyle w:val="Naslov"/>
        <w:keepNext/>
        <w:rPr>
          <w:b w:val="0"/>
          <w:bCs w:val="0"/>
          <w:szCs w:val="28"/>
        </w:rPr>
      </w:pPr>
      <w:r w:rsidRPr="007466EF">
        <w:rPr>
          <w:b w:val="0"/>
          <w:bCs w:val="0"/>
          <w:szCs w:val="28"/>
        </w:rPr>
        <w:t>Šifra 8424 Primljeni zajmovi od ostalih financijskih institucija u javnom sektoru</w:t>
      </w:r>
    </w:p>
    <w:p w14:paraId="102E4F83" w14:textId="30D31F12" w:rsidR="00D50D8F" w:rsidRPr="007466EF" w:rsidRDefault="00D50D8F" w:rsidP="00D50D8F">
      <w:pPr>
        <w:pStyle w:val="Naslov"/>
        <w:keepNext/>
        <w:jc w:val="both"/>
        <w:rPr>
          <w:b w:val="0"/>
          <w:bCs w:val="0"/>
          <w:sz w:val="24"/>
        </w:rPr>
      </w:pPr>
      <w:r w:rsidRPr="007466EF">
        <w:rPr>
          <w:b w:val="0"/>
          <w:bCs w:val="0"/>
          <w:sz w:val="24"/>
        </w:rPr>
        <w:t xml:space="preserve">Primljeni zajmovi od ostalih financijskih institucija u javnom sektoru u </w:t>
      </w:r>
      <w:r w:rsidR="00F36DDA" w:rsidRPr="007466EF">
        <w:rPr>
          <w:b w:val="0"/>
          <w:bCs w:val="0"/>
          <w:sz w:val="24"/>
        </w:rPr>
        <w:t>2024.</w:t>
      </w:r>
      <w:r w:rsidRPr="007466EF">
        <w:rPr>
          <w:b w:val="0"/>
          <w:bCs w:val="0"/>
          <w:sz w:val="24"/>
        </w:rPr>
        <w:t xml:space="preserve"> ostvareni su u ukupnom iznosu od </w:t>
      </w:r>
      <w:r w:rsidR="00F36DDA" w:rsidRPr="007466EF">
        <w:rPr>
          <w:b w:val="0"/>
          <w:bCs w:val="0"/>
          <w:sz w:val="24"/>
        </w:rPr>
        <w:t xml:space="preserve">58.712.812,35 </w:t>
      </w:r>
      <w:r w:rsidRPr="007466EF">
        <w:rPr>
          <w:b w:val="0"/>
          <w:bCs w:val="0"/>
          <w:sz w:val="24"/>
        </w:rPr>
        <w:t xml:space="preserve">eura. U financijskom izvještaju državnog proračuna iskazan je primitak s ove osnove u iznosu od </w:t>
      </w:r>
      <w:r w:rsidR="00F36DDA" w:rsidRPr="007466EF">
        <w:rPr>
          <w:b w:val="0"/>
          <w:bCs w:val="0"/>
          <w:sz w:val="24"/>
        </w:rPr>
        <w:t xml:space="preserve">8.725.342,96 </w:t>
      </w:r>
      <w:r w:rsidRPr="007466EF">
        <w:rPr>
          <w:b w:val="0"/>
          <w:bCs w:val="0"/>
          <w:sz w:val="24"/>
        </w:rPr>
        <w:t>eura s obzirom na to da</w:t>
      </w:r>
      <w:r w:rsidRPr="007466EF">
        <w:t xml:space="preserve"> </w:t>
      </w:r>
      <w:r w:rsidRPr="007466EF">
        <w:rPr>
          <w:b w:val="0"/>
          <w:bCs w:val="0"/>
          <w:sz w:val="24"/>
        </w:rPr>
        <w:t xml:space="preserve">se kratkoročni primici i izdaci u financijskom izvještaju iskazuju u neto iznosu nakon što se sučele prema istovrsnim </w:t>
      </w:r>
      <w:r w:rsidRPr="007466EF">
        <w:rPr>
          <w:b w:val="0"/>
          <w:bCs w:val="0"/>
          <w:sz w:val="24"/>
        </w:rPr>
        <w:lastRenderedPageBreak/>
        <w:t>kategorijama. Primici s osnove primljenih zajmova od ostalih financijskih institucija</w:t>
      </w:r>
      <w:r w:rsidR="00F36DDA" w:rsidRPr="007466EF">
        <w:rPr>
          <w:b w:val="0"/>
          <w:bCs w:val="0"/>
          <w:sz w:val="24"/>
        </w:rPr>
        <w:t xml:space="preserve"> u javnom sektoru u 2024. bilježe povećanje od 42,3% u odnosu na 2023.</w:t>
      </w:r>
    </w:p>
    <w:p w14:paraId="5BAD1434" w14:textId="77777777" w:rsidR="00D50D8F" w:rsidRPr="007466EF" w:rsidRDefault="00D50D8F" w:rsidP="00D50D8F">
      <w:pPr>
        <w:pStyle w:val="xdefault"/>
        <w:shd w:val="clear" w:color="auto" w:fill="FFFFFF"/>
        <w:spacing w:before="0" w:beforeAutospacing="0" w:after="0" w:afterAutospacing="0"/>
        <w:jc w:val="both"/>
      </w:pPr>
    </w:p>
    <w:p w14:paraId="19ECF0E6" w14:textId="77777777" w:rsidR="00D50D8F" w:rsidRPr="007466EF" w:rsidRDefault="00D50D8F" w:rsidP="00D50D8F">
      <w:pPr>
        <w:pStyle w:val="xdefault"/>
        <w:shd w:val="clear" w:color="auto" w:fill="FFFFFF"/>
        <w:spacing w:before="0" w:beforeAutospacing="0" w:after="0" w:afterAutospacing="0"/>
        <w:jc w:val="both"/>
      </w:pPr>
      <w:r w:rsidRPr="007466EF">
        <w:t>Kratkoročni primici i izdaci u glavnoj knjizi državnog proračuna evidentiraju se sukladno odredbama Zakona o proračunu po bruto načelu odnosno u punom iznosu. Sukladno Uputi o primjeni modificiranog novčanog načela u postupku planiranja i izvršavanja državnog proračuna i financijskih planova izvanproračunskih korisnika državnog proračuna (KLASA: 401-01/15-01/131, URBROJ: 513-05-03-19-3) kratkoročni primici i izdaci planiraju se i iskazuju u neto iznosu prema istovrsnim kategorijama. U financijskom izvještaju državnog proračuna kratkoročni primici i izdaci iskazuju se u neto iznosu nakon što se iznosi kratkoročnih primitaka i izdataka međusobno sučele prema istovrsnim kategorijama.</w:t>
      </w:r>
    </w:p>
    <w:p w14:paraId="6D66C93E" w14:textId="20EB024B" w:rsidR="00834692" w:rsidRPr="007466EF" w:rsidRDefault="00834692" w:rsidP="007466EF">
      <w:pPr>
        <w:jc w:val="both"/>
        <w:rPr>
          <w:color w:val="000000"/>
        </w:rPr>
      </w:pPr>
    </w:p>
    <w:p w14:paraId="5AE32590" w14:textId="63EAF549" w:rsidR="00F36DDA" w:rsidRPr="007466EF" w:rsidRDefault="0062560F" w:rsidP="00F36DDA">
      <w:pPr>
        <w:keepNext/>
        <w:jc w:val="center"/>
        <w:rPr>
          <w:sz w:val="28"/>
          <w:szCs w:val="28"/>
        </w:rPr>
      </w:pPr>
      <w:r w:rsidRPr="007466EF">
        <w:rPr>
          <w:sz w:val="28"/>
          <w:szCs w:val="28"/>
        </w:rPr>
        <w:t>Bilješka 57</w:t>
      </w:r>
      <w:r w:rsidR="00F36DDA" w:rsidRPr="007466EF">
        <w:rPr>
          <w:sz w:val="28"/>
          <w:szCs w:val="28"/>
        </w:rPr>
        <w:t>.</w:t>
      </w:r>
    </w:p>
    <w:p w14:paraId="5724EC0A" w14:textId="77777777" w:rsidR="00F36DDA" w:rsidRPr="007466EF" w:rsidRDefault="00F36DDA" w:rsidP="00F36DDA">
      <w:pPr>
        <w:pStyle w:val="Naslov"/>
        <w:keepNext/>
        <w:rPr>
          <w:b w:val="0"/>
          <w:bCs w:val="0"/>
          <w:szCs w:val="28"/>
        </w:rPr>
      </w:pPr>
      <w:r w:rsidRPr="007466EF">
        <w:rPr>
          <w:b w:val="0"/>
          <w:bCs w:val="0"/>
          <w:szCs w:val="28"/>
        </w:rPr>
        <w:t>Šifra 8443 Primljeni krediti od tuzemnih kreditnih institucija izvan javnog sektora</w:t>
      </w:r>
    </w:p>
    <w:p w14:paraId="3E801699" w14:textId="7D5E946E" w:rsidR="00F36DDA" w:rsidRPr="007466EF" w:rsidRDefault="00F36DDA" w:rsidP="00F36DDA">
      <w:pPr>
        <w:pStyle w:val="Naslov"/>
        <w:keepNext/>
        <w:jc w:val="both"/>
        <w:rPr>
          <w:b w:val="0"/>
          <w:bCs w:val="0"/>
          <w:sz w:val="24"/>
        </w:rPr>
      </w:pPr>
      <w:r w:rsidRPr="007466EF">
        <w:rPr>
          <w:b w:val="0"/>
          <w:bCs w:val="0"/>
          <w:sz w:val="24"/>
        </w:rPr>
        <w:t>U 2024. nije bilo ostvarenih primitaka s osnove primljenih kredita od tuzemnih kreditnih institucija izvan javnog sektora, dok su u 2023. primljeni krediti od tuzemnih kreditnih institucija izvan javnog sektora ostvareni u iznosu od 640 milijuna eura.</w:t>
      </w:r>
    </w:p>
    <w:p w14:paraId="52EFB2B0" w14:textId="77777777" w:rsidR="00F36DDA" w:rsidRPr="007466EF" w:rsidRDefault="00F36DDA" w:rsidP="00F36DDA">
      <w:pPr>
        <w:pStyle w:val="Naslov"/>
        <w:keepNext/>
        <w:jc w:val="both"/>
        <w:rPr>
          <w:b w:val="0"/>
          <w:bCs w:val="0"/>
          <w:sz w:val="24"/>
        </w:rPr>
      </w:pPr>
    </w:p>
    <w:p w14:paraId="50A6F23D" w14:textId="78F36079" w:rsidR="00F36DDA" w:rsidRPr="007466EF" w:rsidRDefault="00F36DDA" w:rsidP="00F36DDA">
      <w:pPr>
        <w:jc w:val="both"/>
      </w:pPr>
      <w:r w:rsidRPr="007466EF">
        <w:t>Republika Hrv</w:t>
      </w:r>
      <w:r w:rsidR="000F0D22" w:rsidRPr="007466EF">
        <w:t>atska se u siječnju 2023.</w:t>
      </w:r>
      <w:r w:rsidRPr="007466EF">
        <w:t xml:space="preserve"> zadužila putem dugoročnih kredita na domaćem financijskom tržištu u iznosu 640 milijuna eura (Privredna banka Zagreb d.d. 240.000.000,00 eura, Zagrebačka banka d.d. 300.000.000,00 eura, RAIFFEISEN Bank 100.000.000,00 eura).</w:t>
      </w:r>
    </w:p>
    <w:p w14:paraId="046F54BB" w14:textId="77777777" w:rsidR="00F36DDA" w:rsidRPr="007466EF" w:rsidRDefault="00F36DDA" w:rsidP="007466EF">
      <w:pPr>
        <w:jc w:val="both"/>
        <w:rPr>
          <w:color w:val="000000"/>
        </w:rPr>
      </w:pPr>
    </w:p>
    <w:p w14:paraId="30A7A189" w14:textId="03D330E2" w:rsidR="00864F97" w:rsidRPr="007466EF" w:rsidRDefault="0062560F" w:rsidP="00864F97">
      <w:pPr>
        <w:keepNext/>
        <w:jc w:val="center"/>
        <w:rPr>
          <w:sz w:val="28"/>
        </w:rPr>
      </w:pPr>
      <w:r w:rsidRPr="007466EF">
        <w:rPr>
          <w:sz w:val="28"/>
        </w:rPr>
        <w:t>Bilješka 58</w:t>
      </w:r>
      <w:r w:rsidR="00864F97" w:rsidRPr="007466EF">
        <w:rPr>
          <w:sz w:val="28"/>
        </w:rPr>
        <w:t>.</w:t>
      </w:r>
    </w:p>
    <w:p w14:paraId="29ECCCC7" w14:textId="77777777" w:rsidR="00864F97" w:rsidRPr="007466EF" w:rsidRDefault="00864F97" w:rsidP="00092890">
      <w:pPr>
        <w:jc w:val="center"/>
        <w:rPr>
          <w:sz w:val="28"/>
          <w:szCs w:val="28"/>
        </w:rPr>
      </w:pPr>
      <w:r w:rsidRPr="007466EF">
        <w:rPr>
          <w:sz w:val="28"/>
          <w:szCs w:val="28"/>
        </w:rPr>
        <w:t xml:space="preserve">Šifra 5 Izdaci za financijsku imovinu i otplate zajmova </w:t>
      </w:r>
    </w:p>
    <w:p w14:paraId="7C78B71F" w14:textId="350A8611" w:rsidR="00864F97" w:rsidRPr="007466EF" w:rsidRDefault="00864F97" w:rsidP="00864F97">
      <w:pPr>
        <w:jc w:val="both"/>
      </w:pPr>
      <w:r w:rsidRPr="007466EF">
        <w:t xml:space="preserve">Izdaci za financijsku imovinu i otplate zajmova u </w:t>
      </w:r>
      <w:r w:rsidR="00092890" w:rsidRPr="007466EF">
        <w:t>2024.</w:t>
      </w:r>
      <w:r w:rsidRPr="007466EF">
        <w:t xml:space="preserve"> </w:t>
      </w:r>
      <w:r w:rsidR="0062560F" w:rsidRPr="007466EF">
        <w:t>ostvareni</w:t>
      </w:r>
      <w:r w:rsidRPr="007466EF">
        <w:t xml:space="preserve"> su u ukupnom iznosu od </w:t>
      </w:r>
      <w:r w:rsidR="00092890" w:rsidRPr="007466EF">
        <w:t>4.673.287.698,23</w:t>
      </w:r>
      <w:r w:rsidRPr="007466EF">
        <w:t xml:space="preserve"> eura, dok su u istom razdoblju </w:t>
      </w:r>
      <w:r w:rsidR="00092890" w:rsidRPr="007466EF">
        <w:t xml:space="preserve">2023. </w:t>
      </w:r>
      <w:r w:rsidR="0062560F" w:rsidRPr="007466EF">
        <w:t>ostvaren</w:t>
      </w:r>
      <w:r w:rsidR="00092890" w:rsidRPr="007466EF">
        <w:t>i u iznosu od 4.380.472.658,98 eura, što predstavlja povećanje od 6,7</w:t>
      </w:r>
      <w:r w:rsidRPr="007466EF">
        <w:t>% u promatranom razdoblju.</w:t>
      </w:r>
    </w:p>
    <w:p w14:paraId="3E160F61" w14:textId="77777777" w:rsidR="00864F97" w:rsidRPr="007466EF" w:rsidRDefault="00864F97" w:rsidP="00864F97">
      <w:pPr>
        <w:jc w:val="both"/>
      </w:pPr>
      <w:r w:rsidRPr="007466EF">
        <w:t>Izdaci za financijsku imovinu i otplate zajmova obuhvaćaju dugoročne i kratkoročne izdatke za financijsku imovinu i otplate zajmova.</w:t>
      </w:r>
    </w:p>
    <w:p w14:paraId="6F58E476" w14:textId="77777777" w:rsidR="00864F97" w:rsidRPr="007466EF" w:rsidRDefault="00864F97" w:rsidP="00864F97"/>
    <w:p w14:paraId="4041761B" w14:textId="6FC603FA" w:rsidR="00864F97" w:rsidRPr="007466EF" w:rsidRDefault="00864F97" w:rsidP="00864F97">
      <w:pPr>
        <w:jc w:val="both"/>
      </w:pPr>
      <w:r w:rsidRPr="007466EF">
        <w:t>Kratkoročni primici i izdaci u glavnoj knjizi državnog proračuna evidentiraju se sukladno odredbama Zakona o proračunu po bruto načelu odnosno u punom iznosu. Sukladno Uputi o primjeni modificiranog novčanog načela u postupku planiranja i izvršavanja državnog proračuna i financijskih planova izvanproračunskih korisnika državnog proračuna (KLASA: 401-01/15-01/131, URBROJ: 513-05-03-19-3) kratkoročni primici i izdaci planiraju se i iskazuju u neto iznosu prema istovrsnim kategorijama. U financijskom izvještaju državnog proračuna kratkoročni primici i izdaci iskazuju se u neto iznosu nakon što se iznosi kratkoročnih primitaka i izdataka međusobno sučele prema istovrsnim kategorijama.</w:t>
      </w:r>
    </w:p>
    <w:p w14:paraId="1A938ACE" w14:textId="77777777" w:rsidR="0062560F" w:rsidRPr="007466EF" w:rsidRDefault="0062560F" w:rsidP="00864F97">
      <w:pPr>
        <w:jc w:val="both"/>
        <w:rPr>
          <w:color w:val="000000"/>
        </w:rPr>
      </w:pPr>
    </w:p>
    <w:p w14:paraId="18B3A3F7" w14:textId="39299B95" w:rsidR="00864F97" w:rsidRPr="007466EF" w:rsidRDefault="0062560F" w:rsidP="00092890">
      <w:pPr>
        <w:keepNext/>
        <w:jc w:val="center"/>
        <w:rPr>
          <w:sz w:val="28"/>
        </w:rPr>
      </w:pPr>
      <w:r w:rsidRPr="007466EF">
        <w:rPr>
          <w:sz w:val="28"/>
        </w:rPr>
        <w:t>Bilješka 59</w:t>
      </w:r>
      <w:r w:rsidR="00092890" w:rsidRPr="007466EF">
        <w:rPr>
          <w:sz w:val="28"/>
        </w:rPr>
        <w:t>.</w:t>
      </w:r>
    </w:p>
    <w:p w14:paraId="00D82019" w14:textId="77777777" w:rsidR="00864F97" w:rsidRPr="007466EF" w:rsidRDefault="00864F97" w:rsidP="00864F97">
      <w:pPr>
        <w:pStyle w:val="Odlomakpopisa"/>
        <w:jc w:val="both"/>
        <w:rPr>
          <w:sz w:val="28"/>
          <w:szCs w:val="28"/>
        </w:rPr>
      </w:pPr>
      <w:r w:rsidRPr="007466EF">
        <w:rPr>
          <w:rFonts w:ascii="Calibri" w:hAnsi="Calibri" w:cs="Calibri"/>
          <w:color w:val="000000"/>
          <w:sz w:val="28"/>
          <w:szCs w:val="28"/>
        </w:rPr>
        <w:t>Š</w:t>
      </w:r>
      <w:r w:rsidRPr="007466EF">
        <w:rPr>
          <w:sz w:val="28"/>
          <w:szCs w:val="28"/>
        </w:rPr>
        <w:t>ifra 5132 Dani zajmovi kreditnim institucijama u javnom sektoru</w:t>
      </w:r>
    </w:p>
    <w:p w14:paraId="3399B716" w14:textId="0793BF40" w:rsidR="00092890" w:rsidRPr="007466EF" w:rsidRDefault="00092890" w:rsidP="00864F97">
      <w:pPr>
        <w:jc w:val="both"/>
      </w:pPr>
      <w:r w:rsidRPr="007466EF">
        <w:t xml:space="preserve">Izdaci za dane zajmove kreditnim institucijama u javnom sektoru u 2024. </w:t>
      </w:r>
      <w:r w:rsidR="0062560F" w:rsidRPr="007466EF">
        <w:t>ostvareni</w:t>
      </w:r>
      <w:r w:rsidRPr="007466EF">
        <w:t xml:space="preserve"> su u iznosu od 100.000.000,00 eura dok su u 2023. </w:t>
      </w:r>
      <w:r w:rsidR="0062560F" w:rsidRPr="007466EF">
        <w:t>ostvareni</w:t>
      </w:r>
      <w:r w:rsidRPr="007466EF">
        <w:t xml:space="preserve"> u iznosu od 265.000.000,00 eura što predstavlja smanjenje od 62,3% u promatranom razdoblju.</w:t>
      </w:r>
    </w:p>
    <w:p w14:paraId="5A0F8E31" w14:textId="77777777" w:rsidR="00092890" w:rsidRPr="007466EF" w:rsidRDefault="00092890" w:rsidP="00864F97">
      <w:pPr>
        <w:jc w:val="both"/>
      </w:pPr>
    </w:p>
    <w:p w14:paraId="12E811ED" w14:textId="77777777" w:rsidR="00092890" w:rsidRPr="007466EF" w:rsidRDefault="00092890" w:rsidP="00092890">
      <w:pPr>
        <w:jc w:val="both"/>
      </w:pPr>
      <w:r w:rsidRPr="007466EF">
        <w:t xml:space="preserve">Republika Hrvatska - Ministarstvo financija i HBOR zaključili su dana 25. srpnja 2024. Ugovor o zajmu broj: 1/2024 na iznos od 100.000.000,00 eura s datumom isplate do 31. srpnja 2024. </w:t>
      </w:r>
      <w:r w:rsidRPr="007466EF">
        <w:lastRenderedPageBreak/>
        <w:t>Sredstva zajma HBOR koristi za osiguranje likvidnosti i provođenje kreditne aktivnosti. Na isplaćeni iznos zajma obračunava se kamata po fiksnoj stopi od 3,5% godišnje.</w:t>
      </w:r>
    </w:p>
    <w:p w14:paraId="7C6F7190" w14:textId="5483A8C7" w:rsidR="00864F97" w:rsidRPr="007466EF" w:rsidRDefault="00864F97" w:rsidP="007523EA">
      <w:pPr>
        <w:tabs>
          <w:tab w:val="left" w:pos="180"/>
          <w:tab w:val="left" w:pos="540"/>
        </w:tabs>
        <w:spacing w:after="120"/>
        <w:jc w:val="both"/>
      </w:pPr>
    </w:p>
    <w:p w14:paraId="52987A70" w14:textId="109D696C" w:rsidR="0062560F" w:rsidRPr="007466EF" w:rsidRDefault="0062560F" w:rsidP="0062560F">
      <w:pPr>
        <w:jc w:val="both"/>
      </w:pPr>
      <w:r w:rsidRPr="007466EF">
        <w:t>Vezano uz ostvarene izdatke u 2023., Republika Hrvatska - Ministarstvo financija i HBOR zaključili s</w:t>
      </w:r>
      <w:r w:rsidR="000F0D22" w:rsidRPr="007466EF">
        <w:t>u dana 15. prosinca 2023.</w:t>
      </w:r>
      <w:r w:rsidRPr="007466EF">
        <w:t xml:space="preserve"> Ugovor o zajmu broj: 1/2023 na iznos od 265.000.000,00 eura s da</w:t>
      </w:r>
      <w:r w:rsidR="000F0D22" w:rsidRPr="007466EF">
        <w:t>tumom isplate 15. prosinca 2023</w:t>
      </w:r>
      <w:r w:rsidRPr="007466EF">
        <w:t>. Sredstva zajma HBOR koristi za osiguranje likvidnosti i provođenje kreditne aktivnosti. Na isplaćeni iznos zajma obračunava se kamata po fiksnoj stopi od 3</w:t>
      </w:r>
      <w:r w:rsidR="00024422">
        <w:t>,75% godišnje, a</w:t>
      </w:r>
      <w:r w:rsidR="005252FF" w:rsidRPr="007466EF">
        <w:t xml:space="preserve"> HBOR </w:t>
      </w:r>
      <w:r w:rsidR="00024422">
        <w:t>će otplaćivati</w:t>
      </w:r>
      <w:r w:rsidRPr="007466EF">
        <w:t xml:space="preserve"> isplaćeni iznos u jednokratnim tromjesečnim ratama, od kojih prva t</w:t>
      </w:r>
      <w:r w:rsidR="000F0D22" w:rsidRPr="007466EF">
        <w:t xml:space="preserve">romjesečna rata dospijeva 15. travnja </w:t>
      </w:r>
      <w:r w:rsidRPr="007466EF">
        <w:t>2025., a zadnja t</w:t>
      </w:r>
      <w:r w:rsidR="000F0D22" w:rsidRPr="007466EF">
        <w:t xml:space="preserve">romjesečna rata dospijeva 15. siječnja </w:t>
      </w:r>
      <w:r w:rsidRPr="007466EF">
        <w:t>2034.</w:t>
      </w:r>
    </w:p>
    <w:p w14:paraId="59EEC3B7" w14:textId="77777777" w:rsidR="0062560F" w:rsidRPr="007466EF" w:rsidRDefault="0062560F" w:rsidP="007466EF">
      <w:pPr>
        <w:jc w:val="both"/>
        <w:rPr>
          <w:color w:val="000000"/>
        </w:rPr>
      </w:pPr>
    </w:p>
    <w:p w14:paraId="5A64AD5A" w14:textId="0775F655" w:rsidR="00864F97" w:rsidRPr="007466EF" w:rsidRDefault="005252FF" w:rsidP="00864F97">
      <w:pPr>
        <w:keepNext/>
        <w:jc w:val="center"/>
        <w:rPr>
          <w:sz w:val="28"/>
        </w:rPr>
      </w:pPr>
      <w:r w:rsidRPr="007466EF">
        <w:rPr>
          <w:sz w:val="28"/>
        </w:rPr>
        <w:t>Bilješka 60</w:t>
      </w:r>
      <w:r w:rsidR="00864F97" w:rsidRPr="007466EF">
        <w:rPr>
          <w:sz w:val="28"/>
        </w:rPr>
        <w:t>.</w:t>
      </w:r>
    </w:p>
    <w:p w14:paraId="635B4244" w14:textId="77777777" w:rsidR="00864F97" w:rsidRPr="007466EF" w:rsidRDefault="00864F97" w:rsidP="00864F97">
      <w:pPr>
        <w:pStyle w:val="Odlomakpopisa"/>
        <w:spacing w:after="240"/>
        <w:jc w:val="center"/>
        <w:rPr>
          <w:sz w:val="28"/>
          <w:szCs w:val="28"/>
        </w:rPr>
      </w:pPr>
      <w:r w:rsidRPr="007466EF">
        <w:rPr>
          <w:sz w:val="28"/>
          <w:szCs w:val="28"/>
        </w:rPr>
        <w:t>Šifra 5163 Dani zajmovi tuzemnim trgovačkim društvima izvan javnog sektora</w:t>
      </w:r>
    </w:p>
    <w:p w14:paraId="227AEB14" w14:textId="0A4E6F2F" w:rsidR="00092890" w:rsidRPr="007466EF" w:rsidRDefault="00092890" w:rsidP="00092890">
      <w:pPr>
        <w:pStyle w:val="Odlomakpopisa"/>
        <w:ind w:left="0"/>
        <w:jc w:val="both"/>
      </w:pPr>
      <w:r w:rsidRPr="007466EF">
        <w:t>U</w:t>
      </w:r>
      <w:r w:rsidRPr="007466EF">
        <w:rPr>
          <w:i/>
        </w:rPr>
        <w:t xml:space="preserve"> </w:t>
      </w:r>
      <w:r w:rsidR="000F0D22" w:rsidRPr="007466EF">
        <w:t>2022.</w:t>
      </w:r>
      <w:r w:rsidRPr="007466EF">
        <w:t xml:space="preserve"> HBOR, Ministarstvo financija, kao tijelo nadležno za koordinaciju praćenja provedbe NPOO-a 2021.-2026., i Ministarstvo gospodarstva i održivog razvoja, kao tijelo nadležno za komponentu/</w:t>
      </w:r>
      <w:proofErr w:type="spellStart"/>
      <w:r w:rsidRPr="007466EF">
        <w:t>podkomponentu</w:t>
      </w:r>
      <w:proofErr w:type="spellEnd"/>
      <w:r w:rsidRPr="007466EF">
        <w:t xml:space="preserve"> NPOO-a 2021.-2026., sklopili su Sporazum o delegiranim poslovima u svrhu uspostave Financijskog instrumenta izravnih kredita HBOR-a iznosa iznad 100.000 EUR za mikro, male i srednje poslovne subjekte. Inicijalno raspoloživa sredstva namijenjena za ov</w:t>
      </w:r>
      <w:r w:rsidR="005252FF" w:rsidRPr="007466EF">
        <w:t>aj financijski instrument iznosila su</w:t>
      </w:r>
      <w:r w:rsidRPr="007466EF">
        <w:t xml:space="preserve"> 500 milijuna kuna, odnosno 66.361.404,21 eura. Sporazumom se ovlašćuje HBOR na provedbu i upravljanje s financijskim instrumentom, u svoje ime, a za račun i na rizik Republike Hrvatske. Financijski instrument provodi se izravnim odobrenjem kredita od strane HBOR-a, u skladu s investicijskom politikom. Temeljem investicijske politike HBOR izrađuje plan povlačenja raspoloživih sredstava koja su osigurana u državnom proračunu.</w:t>
      </w:r>
    </w:p>
    <w:p w14:paraId="6E19175C" w14:textId="77777777" w:rsidR="00092890" w:rsidRPr="007466EF" w:rsidRDefault="00092890" w:rsidP="00092890">
      <w:pPr>
        <w:pStyle w:val="Odlomakpopisa"/>
        <w:ind w:left="0"/>
        <w:jc w:val="both"/>
      </w:pPr>
    </w:p>
    <w:p w14:paraId="4D6ACD2B" w14:textId="3872CE70" w:rsidR="00092890" w:rsidRPr="007466EF" w:rsidRDefault="00092890" w:rsidP="00092890">
      <w:pPr>
        <w:pStyle w:val="Odlomakpopisa"/>
        <w:ind w:left="0"/>
        <w:jc w:val="both"/>
      </w:pPr>
      <w:r w:rsidRPr="007466EF">
        <w:t xml:space="preserve">U 2024. Ministarstvo financija je sukladno spomenutom Sporazumu, a na temelju plana povlačenja i zahtjeva za plaćanje dostavljenog od strane HBOR-a isplatilo iznos od 33.180.702,00 eura na ime danih zajmova tuzemnim trgovačkim </w:t>
      </w:r>
      <w:r w:rsidR="005252FF" w:rsidRPr="007466EF">
        <w:t>društvima izvan javnog sektora, dok je u 2023. s iste osnove isplatilo iznos od 16.590.351,00 eura.</w:t>
      </w:r>
    </w:p>
    <w:p w14:paraId="65183E66" w14:textId="77777777" w:rsidR="005252FF" w:rsidRPr="007466EF" w:rsidRDefault="005252FF" w:rsidP="00092890">
      <w:pPr>
        <w:pStyle w:val="Odlomakpopisa"/>
        <w:ind w:left="0"/>
        <w:jc w:val="both"/>
      </w:pPr>
    </w:p>
    <w:p w14:paraId="154DCDD4" w14:textId="77777777" w:rsidR="00092890" w:rsidRPr="007466EF" w:rsidRDefault="00092890" w:rsidP="00092890">
      <w:pPr>
        <w:jc w:val="both"/>
      </w:pPr>
      <w:r w:rsidRPr="007466EF">
        <w:t>U skladu s Uputom Ministarstva financija (KLASA: 400-02/22-01/54 URBROJ:513-05-03-22-1) od 29. prosinca 2022. doznačavanje sredstava krajnjim primateljima putem posrednika HBOR-a, evidentira se na osnovnim računima prema krajnjim primateljima, a ne kao da je dan zajam HBOR-u.</w:t>
      </w:r>
    </w:p>
    <w:p w14:paraId="1BB0A931" w14:textId="77777777" w:rsidR="00864F97" w:rsidRPr="007466EF" w:rsidRDefault="00864F97" w:rsidP="007466EF">
      <w:pPr>
        <w:jc w:val="both"/>
        <w:rPr>
          <w:color w:val="000000"/>
        </w:rPr>
      </w:pPr>
    </w:p>
    <w:p w14:paraId="6357772B" w14:textId="4DB5E1C4" w:rsidR="00864F97" w:rsidRPr="007466EF" w:rsidRDefault="005252FF" w:rsidP="00864F97">
      <w:pPr>
        <w:keepNext/>
        <w:jc w:val="center"/>
        <w:rPr>
          <w:sz w:val="28"/>
        </w:rPr>
      </w:pPr>
      <w:r w:rsidRPr="007466EF">
        <w:rPr>
          <w:sz w:val="28"/>
        </w:rPr>
        <w:t>Bilješka 61</w:t>
      </w:r>
      <w:r w:rsidR="00864F97" w:rsidRPr="007466EF">
        <w:rPr>
          <w:sz w:val="28"/>
        </w:rPr>
        <w:t>.</w:t>
      </w:r>
    </w:p>
    <w:p w14:paraId="27449883" w14:textId="62B9AFEC" w:rsidR="007523EA" w:rsidRPr="007466EF" w:rsidRDefault="007523EA" w:rsidP="00864F97">
      <w:pPr>
        <w:keepNext/>
        <w:jc w:val="center"/>
        <w:rPr>
          <w:sz w:val="28"/>
        </w:rPr>
      </w:pPr>
      <w:r w:rsidRPr="007466EF">
        <w:rPr>
          <w:sz w:val="28"/>
        </w:rPr>
        <w:t xml:space="preserve">Šifra 518 Izdaci za depozite i </w:t>
      </w:r>
      <w:proofErr w:type="spellStart"/>
      <w:r w:rsidRPr="007466EF">
        <w:rPr>
          <w:sz w:val="28"/>
        </w:rPr>
        <w:t>jamčevne</w:t>
      </w:r>
      <w:proofErr w:type="spellEnd"/>
      <w:r w:rsidRPr="007466EF">
        <w:rPr>
          <w:sz w:val="28"/>
        </w:rPr>
        <w:t xml:space="preserve"> </w:t>
      </w:r>
      <w:proofErr w:type="spellStart"/>
      <w:r w:rsidRPr="007466EF">
        <w:rPr>
          <w:sz w:val="28"/>
        </w:rPr>
        <w:t>pologe</w:t>
      </w:r>
      <w:proofErr w:type="spellEnd"/>
    </w:p>
    <w:p w14:paraId="1A083269" w14:textId="64DB09BD" w:rsidR="007523EA" w:rsidRPr="007466EF" w:rsidRDefault="00864F97" w:rsidP="00864F97">
      <w:pPr>
        <w:tabs>
          <w:tab w:val="decimal" w:pos="7380"/>
        </w:tabs>
        <w:jc w:val="both"/>
      </w:pPr>
      <w:r w:rsidRPr="007466EF">
        <w:t xml:space="preserve">Izdaci za </w:t>
      </w:r>
      <w:r w:rsidR="007523EA" w:rsidRPr="007466EF">
        <w:t xml:space="preserve">depozite i </w:t>
      </w:r>
      <w:proofErr w:type="spellStart"/>
      <w:r w:rsidR="007523EA" w:rsidRPr="007466EF">
        <w:t>jamčevne</w:t>
      </w:r>
      <w:proofErr w:type="spellEnd"/>
      <w:r w:rsidR="007523EA" w:rsidRPr="007466EF">
        <w:t xml:space="preserve"> </w:t>
      </w:r>
      <w:proofErr w:type="spellStart"/>
      <w:r w:rsidR="007523EA" w:rsidRPr="007466EF">
        <w:t>pologe</w:t>
      </w:r>
      <w:proofErr w:type="spellEnd"/>
      <w:r w:rsidRPr="007466EF">
        <w:t xml:space="preserve"> izvršeni su u </w:t>
      </w:r>
      <w:r w:rsidR="007523EA" w:rsidRPr="007466EF">
        <w:t>2024. u iznosu od 4.000.000,00 eura dok u 2023. nije bilo izdataka s ove osnove što predstavlja stopostotno povećanje u promatranom razdoblju.</w:t>
      </w:r>
    </w:p>
    <w:p w14:paraId="421184E8" w14:textId="35248BAD" w:rsidR="004126AD" w:rsidRPr="007466EF" w:rsidRDefault="004126AD" w:rsidP="00864F97">
      <w:pPr>
        <w:tabs>
          <w:tab w:val="decimal" w:pos="7380"/>
        </w:tabs>
        <w:jc w:val="both"/>
      </w:pPr>
    </w:p>
    <w:p w14:paraId="23E5979E" w14:textId="41703A84" w:rsidR="004126AD" w:rsidRPr="007466EF" w:rsidRDefault="004126AD" w:rsidP="004126AD">
      <w:pPr>
        <w:keepNext/>
        <w:jc w:val="both"/>
      </w:pPr>
      <w:r w:rsidRPr="007466EF">
        <w:t xml:space="preserve">Temeljem Sporazuma o delegiranim poslovima u svrhu uspostave instrumenata za ulaganja u vlasničke i </w:t>
      </w:r>
      <w:proofErr w:type="spellStart"/>
      <w:r w:rsidRPr="007466EF">
        <w:t>kvazivlasničko</w:t>
      </w:r>
      <w:proofErr w:type="spellEnd"/>
      <w:r w:rsidRPr="007466EF">
        <w:t xml:space="preserve"> financiranje, a </w:t>
      </w:r>
      <w:r w:rsidR="000F0D22" w:rsidRPr="007466EF">
        <w:t>kojeg je 30. prosinca 2022.</w:t>
      </w:r>
      <w:r w:rsidRPr="007466EF">
        <w:t xml:space="preserve"> sklopilo Ministarstvo financija, Ministarstvo gospodarstva i održivog razvoje te Hrvatska banka za obnovu i razvitak (HBOR), HBOR-u su doznačena sredstva u iznosu od 4 milijuna eura. Temeljem Sporazuma HBOR u svoje ime, a za račun RH provodi ulaganje u alternativne investicijske fondove tj. fondove rizičnog kapitala. Uplaćena proračunska sredstva u iznosu od 4 milijuna eura koriste </w:t>
      </w:r>
      <w:r w:rsidRPr="007466EF">
        <w:lastRenderedPageBreak/>
        <w:t xml:space="preserve">se za ulaganje u alternativni investicijski fond </w:t>
      </w:r>
      <w:proofErr w:type="spellStart"/>
      <w:r w:rsidRPr="007466EF">
        <w:t>Hybrid</w:t>
      </w:r>
      <w:proofErr w:type="spellEnd"/>
      <w:r w:rsidRPr="007466EF">
        <w:t xml:space="preserve"> Capital </w:t>
      </w:r>
      <w:proofErr w:type="spellStart"/>
      <w:r w:rsidRPr="007466EF">
        <w:t>Partners</w:t>
      </w:r>
      <w:proofErr w:type="spellEnd"/>
      <w:r w:rsidRPr="007466EF">
        <w:t xml:space="preserve"> – HCP registriran u Luksemburgu.</w:t>
      </w:r>
    </w:p>
    <w:p w14:paraId="241CB483" w14:textId="1C8C129B" w:rsidR="00864F97" w:rsidRPr="007466EF" w:rsidRDefault="00864F97" w:rsidP="00864F97">
      <w:pPr>
        <w:jc w:val="both"/>
        <w:rPr>
          <w:color w:val="000000"/>
        </w:rPr>
      </w:pPr>
    </w:p>
    <w:p w14:paraId="7C45DDED" w14:textId="0017A99D" w:rsidR="00864F97" w:rsidRPr="007466EF" w:rsidRDefault="007523EA" w:rsidP="00864F97">
      <w:pPr>
        <w:keepNext/>
        <w:jc w:val="center"/>
        <w:rPr>
          <w:sz w:val="28"/>
          <w:szCs w:val="28"/>
        </w:rPr>
      </w:pPr>
      <w:r w:rsidRPr="007466EF">
        <w:rPr>
          <w:sz w:val="28"/>
          <w:szCs w:val="28"/>
        </w:rPr>
        <w:t xml:space="preserve">Bilješka </w:t>
      </w:r>
      <w:r w:rsidR="005252FF" w:rsidRPr="007466EF">
        <w:rPr>
          <w:sz w:val="28"/>
          <w:szCs w:val="28"/>
        </w:rPr>
        <w:t>62</w:t>
      </w:r>
      <w:r w:rsidR="00864F97" w:rsidRPr="007466EF">
        <w:rPr>
          <w:sz w:val="28"/>
          <w:szCs w:val="28"/>
        </w:rPr>
        <w:t>.</w:t>
      </w:r>
    </w:p>
    <w:p w14:paraId="1F5FD339" w14:textId="77777777" w:rsidR="00864F97" w:rsidRPr="007466EF" w:rsidRDefault="00864F97" w:rsidP="007523EA">
      <w:pPr>
        <w:pStyle w:val="Odlomakpopisa"/>
        <w:tabs>
          <w:tab w:val="left" w:pos="180"/>
          <w:tab w:val="left" w:pos="540"/>
        </w:tabs>
        <w:jc w:val="both"/>
        <w:rPr>
          <w:sz w:val="28"/>
          <w:szCs w:val="28"/>
        </w:rPr>
      </w:pPr>
      <w:r w:rsidRPr="007466EF">
        <w:rPr>
          <w:sz w:val="28"/>
          <w:szCs w:val="28"/>
        </w:rPr>
        <w:t>Šifra 5312 Dionice i udjeli u glavnici kreditnih institucija u javnom sektoru</w:t>
      </w:r>
    </w:p>
    <w:p w14:paraId="51B6B85E" w14:textId="25E79C34" w:rsidR="007523EA" w:rsidRPr="007466EF" w:rsidRDefault="007523EA" w:rsidP="007523EA">
      <w:pPr>
        <w:tabs>
          <w:tab w:val="decimal" w:pos="7380"/>
        </w:tabs>
        <w:jc w:val="both"/>
      </w:pPr>
      <w:r w:rsidRPr="007466EF">
        <w:t>Izdaci za dionice i udjele u glavnici kreditnih institucija u javnom sektoru izvršeni su u 2024. u iznosu od 3.000.000,00 eura dok su u 2023. izvršeni u iznosu od 2.654.456,00 eura što predstavlja povećanje od 13% u promatranom razdoblju, a odnosi se na uplatu z</w:t>
      </w:r>
      <w:r w:rsidR="00864F97" w:rsidRPr="007466EF">
        <w:t>a osnivački kapital HBOR-a u svrhu poticanja izvoza, infrastrukture i gospodarskih djelatnosti te</w:t>
      </w:r>
      <w:r w:rsidRPr="007466EF">
        <w:t xml:space="preserve"> malog i srednjeg poduzetništva.</w:t>
      </w:r>
    </w:p>
    <w:p w14:paraId="4A707ED2" w14:textId="77777777" w:rsidR="007523EA" w:rsidRPr="007466EF" w:rsidRDefault="007523EA" w:rsidP="007466EF">
      <w:pPr>
        <w:jc w:val="both"/>
        <w:rPr>
          <w:color w:val="000000"/>
        </w:rPr>
      </w:pPr>
    </w:p>
    <w:p w14:paraId="67D2046F" w14:textId="3786B5C9" w:rsidR="00864F97" w:rsidRPr="007466EF" w:rsidRDefault="005252FF" w:rsidP="00864F97">
      <w:pPr>
        <w:keepNext/>
        <w:jc w:val="center"/>
        <w:rPr>
          <w:sz w:val="28"/>
          <w:szCs w:val="28"/>
        </w:rPr>
      </w:pPr>
      <w:r w:rsidRPr="007466EF">
        <w:rPr>
          <w:sz w:val="28"/>
          <w:szCs w:val="28"/>
        </w:rPr>
        <w:t>Bilješka 63</w:t>
      </w:r>
      <w:r w:rsidR="00864F97" w:rsidRPr="007466EF">
        <w:rPr>
          <w:sz w:val="28"/>
          <w:szCs w:val="28"/>
        </w:rPr>
        <w:t>.</w:t>
      </w:r>
    </w:p>
    <w:p w14:paraId="7F00F9E7" w14:textId="77777777" w:rsidR="00864F97" w:rsidRPr="007466EF" w:rsidRDefault="00864F97" w:rsidP="00864F97">
      <w:pPr>
        <w:keepNext/>
        <w:jc w:val="center"/>
        <w:rPr>
          <w:sz w:val="28"/>
          <w:szCs w:val="28"/>
        </w:rPr>
      </w:pPr>
      <w:r w:rsidRPr="007466EF">
        <w:rPr>
          <w:sz w:val="28"/>
          <w:szCs w:val="28"/>
        </w:rPr>
        <w:t>Šifra 5321 Dionice i udjeli u glavnici trgovačkih društava u javnom sektoru</w:t>
      </w:r>
    </w:p>
    <w:p w14:paraId="609961DE" w14:textId="7BE91B02" w:rsidR="00CF67C0" w:rsidRPr="007466EF" w:rsidRDefault="00CF67C0" w:rsidP="00CF67C0">
      <w:pPr>
        <w:jc w:val="both"/>
      </w:pPr>
      <w:r w:rsidRPr="007466EF">
        <w:rPr>
          <w:bCs/>
        </w:rPr>
        <w:t xml:space="preserve">U 2024. nije bilo izdataka s osnove ulaganja u </w:t>
      </w:r>
      <w:r w:rsidRPr="007466EF">
        <w:t>dionice i udjele u glavnici trgovačkih društava u javnom sektoru dok su u 2023. izvršeni su u iznosu od 37.779.000,00 eura što predstavlja stopostotno smanjenje u promatranom razdoblju.</w:t>
      </w:r>
    </w:p>
    <w:p w14:paraId="0312767F" w14:textId="38BE1A22" w:rsidR="007523EA" w:rsidRPr="007466EF" w:rsidRDefault="007523EA" w:rsidP="00864F97">
      <w:pPr>
        <w:pStyle w:val="xbox473596"/>
        <w:shd w:val="clear" w:color="auto" w:fill="FFFFFF"/>
        <w:spacing w:before="0" w:beforeAutospacing="0" w:after="48" w:afterAutospacing="0"/>
        <w:jc w:val="both"/>
        <w:textAlignment w:val="baseline"/>
        <w:rPr>
          <w:color w:val="231F20"/>
          <w:shd w:val="clear" w:color="auto" w:fill="FFFFFF"/>
        </w:rPr>
      </w:pPr>
    </w:p>
    <w:p w14:paraId="637FFC1E" w14:textId="4DB4F50B" w:rsidR="00864F97" w:rsidRPr="007466EF" w:rsidRDefault="00CF67C0" w:rsidP="00864F97">
      <w:pPr>
        <w:pStyle w:val="xbox473596"/>
        <w:shd w:val="clear" w:color="auto" w:fill="FFFFFF"/>
        <w:spacing w:before="0" w:beforeAutospacing="0" w:after="48" w:afterAutospacing="0"/>
        <w:jc w:val="both"/>
        <w:textAlignment w:val="baseline"/>
        <w:rPr>
          <w:color w:val="231F20"/>
          <w:shd w:val="clear" w:color="auto" w:fill="FFFFFF"/>
        </w:rPr>
      </w:pPr>
      <w:r w:rsidRPr="007466EF">
        <w:rPr>
          <w:color w:val="231F20"/>
          <w:shd w:val="clear" w:color="auto" w:fill="FFFFFF"/>
        </w:rPr>
        <w:t xml:space="preserve">Naime, u 2023. </w:t>
      </w:r>
      <w:r w:rsidR="00864F97" w:rsidRPr="007466EF">
        <w:rPr>
          <w:color w:val="231F20"/>
          <w:shd w:val="clear" w:color="auto" w:fill="FFFFFF"/>
        </w:rPr>
        <w:t>Ugovorom o prijenosu poslovnog udjela, sklopljenim između Grada Zagreba i Republike Hrvatske 22. prosinca 2023. (KLASA: 305-01/18-01/01, URBROJ: 513-13-01-23-34), utvrđeno je kako su Grad Zagreb i Republika Hrvatska jedini članovi i imatelji poslovnih udjela trgovačkog društva APIS IT d.o.o. Na temelju predmetnog Ugovora Grad Zagreb prenio je Republici Hrvatskoj 1 poslovni udio, pri čemu naknada za poslovni udjel u skladu s člankom 3. Ugovora iznosi 37.779.000,00 eura, koja je dijelom isplaćena iz sredstava državnog proračuna Republike Hrvatske u iznosu od 1.033.678,02 eura, a dijelom pretvaranjem potraživanja Republike Hrvatske prema Gradu Zagrebu s osnova danih zajmova u iznosu od 36.745.321,98 eura.</w:t>
      </w:r>
    </w:p>
    <w:p w14:paraId="23AEE23B" w14:textId="6EDDDBE1" w:rsidR="007523EA" w:rsidRPr="007466EF" w:rsidRDefault="007523EA" w:rsidP="007466EF">
      <w:pPr>
        <w:jc w:val="both"/>
        <w:rPr>
          <w:color w:val="000000"/>
        </w:rPr>
      </w:pPr>
    </w:p>
    <w:p w14:paraId="3FF7E5A3" w14:textId="670B3F8C" w:rsidR="00864F97" w:rsidRPr="007466EF" w:rsidRDefault="00864F97" w:rsidP="00864F97">
      <w:pPr>
        <w:keepNext/>
        <w:jc w:val="center"/>
        <w:rPr>
          <w:sz w:val="28"/>
          <w:szCs w:val="28"/>
        </w:rPr>
      </w:pPr>
      <w:r w:rsidRPr="007466EF">
        <w:rPr>
          <w:sz w:val="28"/>
          <w:szCs w:val="28"/>
        </w:rPr>
        <w:t>Bil</w:t>
      </w:r>
      <w:r w:rsidR="00EE0658" w:rsidRPr="007466EF">
        <w:rPr>
          <w:sz w:val="28"/>
          <w:szCs w:val="28"/>
        </w:rPr>
        <w:t>ješka 6</w:t>
      </w:r>
      <w:r w:rsidR="009312C1" w:rsidRPr="007466EF">
        <w:rPr>
          <w:sz w:val="28"/>
          <w:szCs w:val="28"/>
        </w:rPr>
        <w:t>4</w:t>
      </w:r>
      <w:r w:rsidRPr="007466EF">
        <w:rPr>
          <w:sz w:val="28"/>
          <w:szCs w:val="28"/>
        </w:rPr>
        <w:t>.</w:t>
      </w:r>
    </w:p>
    <w:p w14:paraId="243176C8" w14:textId="77777777" w:rsidR="00864F97" w:rsidRPr="007466EF" w:rsidRDefault="00864F97" w:rsidP="00864F97">
      <w:pPr>
        <w:keepNext/>
        <w:jc w:val="center"/>
        <w:rPr>
          <w:sz w:val="28"/>
          <w:szCs w:val="28"/>
        </w:rPr>
      </w:pPr>
      <w:r w:rsidRPr="007466EF">
        <w:rPr>
          <w:sz w:val="28"/>
          <w:szCs w:val="28"/>
        </w:rPr>
        <w:t>Šifra 5332 Dionice i udjeli u glavnici inozemnih kreditnih i ostalih financijskih institucija izvan javnog  sektora</w:t>
      </w:r>
    </w:p>
    <w:p w14:paraId="18A6A4F6" w14:textId="23A5DAAA" w:rsidR="00864F97" w:rsidRPr="007466EF" w:rsidRDefault="00864F97" w:rsidP="00864F97">
      <w:pPr>
        <w:jc w:val="both"/>
      </w:pPr>
      <w:r w:rsidRPr="007466EF">
        <w:rPr>
          <w:bCs/>
        </w:rPr>
        <w:t xml:space="preserve">Izdaci za </w:t>
      </w:r>
      <w:r w:rsidRPr="007466EF">
        <w:t>dionice i udjele u glavnici inozemnih kreditnih i ostalih</w:t>
      </w:r>
      <w:r w:rsidR="00EE0658" w:rsidRPr="007466EF">
        <w:t xml:space="preserve"> financijskih institucija u 2024</w:t>
      </w:r>
      <w:r w:rsidRPr="007466EF">
        <w:t xml:space="preserve">. </w:t>
      </w:r>
      <w:r w:rsidR="009312C1" w:rsidRPr="007466EF">
        <w:t>ostvaren</w:t>
      </w:r>
      <w:r w:rsidRPr="007466EF">
        <w:t>i su u iznosu od</w:t>
      </w:r>
      <w:r w:rsidR="00EE0658" w:rsidRPr="007466EF">
        <w:t xml:space="preserve"> 145.428.367,94 eura dok su u 2023. </w:t>
      </w:r>
      <w:r w:rsidR="009312C1" w:rsidRPr="007466EF">
        <w:t>ostvareni</w:t>
      </w:r>
      <w:r w:rsidR="00EE0658" w:rsidRPr="007466EF">
        <w:t xml:space="preserve"> u iznosu od</w:t>
      </w:r>
      <w:r w:rsidRPr="007466EF">
        <w:t xml:space="preserve"> 93.461.101,02 eura </w:t>
      </w:r>
      <w:r w:rsidR="00EE0658" w:rsidRPr="007466EF">
        <w:t>što predstavlja povećanje od 55,6% u promatranom razdoblju</w:t>
      </w:r>
      <w:r w:rsidRPr="007466EF">
        <w:t>.</w:t>
      </w:r>
    </w:p>
    <w:p w14:paraId="4C131DB9" w14:textId="1BE18BC3" w:rsidR="00864F97" w:rsidRPr="007466EF" w:rsidRDefault="00864F97" w:rsidP="00864F97">
      <w:pPr>
        <w:jc w:val="both"/>
      </w:pPr>
      <w:r w:rsidRPr="007466EF">
        <w:t xml:space="preserve">Povećanje izdataka </w:t>
      </w:r>
      <w:r w:rsidR="00EE0658" w:rsidRPr="007466EF">
        <w:t xml:space="preserve">s ove osnove </w:t>
      </w:r>
      <w:r w:rsidRPr="007466EF">
        <w:t xml:space="preserve">u </w:t>
      </w:r>
      <w:r w:rsidR="009312C1" w:rsidRPr="007466EF">
        <w:t>2024.</w:t>
      </w:r>
      <w:r w:rsidRPr="007466EF">
        <w:t xml:space="preserve"> rezultat je sljedećih transakcija odnosno poslovnih događaja: </w:t>
      </w:r>
    </w:p>
    <w:p w14:paraId="1468306E" w14:textId="6E9C8D7C" w:rsidR="00864F97" w:rsidRPr="007466EF" w:rsidRDefault="00864F97" w:rsidP="00864F97">
      <w:pPr>
        <w:pStyle w:val="Odlomakpopisa"/>
        <w:numPr>
          <w:ilvl w:val="0"/>
          <w:numId w:val="2"/>
        </w:numPr>
        <w:jc w:val="both"/>
      </w:pPr>
      <w:r w:rsidRPr="007466EF">
        <w:t xml:space="preserve">U </w:t>
      </w:r>
      <w:r w:rsidR="00EE0658" w:rsidRPr="007466EF">
        <w:t>prosincu 2024.</w:t>
      </w:r>
      <w:r w:rsidRPr="007466EF">
        <w:t xml:space="preserve"> izvršeno je plaćanje </w:t>
      </w:r>
      <w:r w:rsidR="00EE0658" w:rsidRPr="007466EF">
        <w:t>pete</w:t>
      </w:r>
      <w:r w:rsidRPr="007466EF">
        <w:t xml:space="preserve"> od pet rata obveza Republike Hrvatske za opće povećanje kapitala Međunarodne financijske korporacije</w:t>
      </w:r>
      <w:r w:rsidR="00EE0658" w:rsidRPr="007466EF">
        <w:t xml:space="preserve"> (IFC) (rata obveze iznosi 1.407</w:t>
      </w:r>
      <w:r w:rsidRPr="007466EF">
        <w:t>.000,00 USD).</w:t>
      </w:r>
    </w:p>
    <w:p w14:paraId="7C16A6DA" w14:textId="660B905C" w:rsidR="00864F97" w:rsidRPr="007466EF" w:rsidRDefault="00864F97" w:rsidP="00864F97">
      <w:pPr>
        <w:pStyle w:val="Odlomakpopisa"/>
        <w:numPr>
          <w:ilvl w:val="0"/>
          <w:numId w:val="2"/>
        </w:numPr>
        <w:jc w:val="both"/>
      </w:pPr>
      <w:r w:rsidRPr="007466EF">
        <w:t xml:space="preserve">Republika Hrvatska je dana 22. ožujka 2023. postala 20. članica Europskog stabilizacijskog mehanizma (ESM). Prema Ugovoru o osnivanju ESM-a, sve države članice </w:t>
      </w:r>
      <w:proofErr w:type="spellStart"/>
      <w:r w:rsidRPr="007466EF">
        <w:t>europodručja</w:t>
      </w:r>
      <w:proofErr w:type="spellEnd"/>
      <w:r w:rsidRPr="007466EF">
        <w:t xml:space="preserve"> pristupaju ESM-u. Dana </w:t>
      </w:r>
      <w:r w:rsidR="00EE0658" w:rsidRPr="007466EF">
        <w:t>4. ožujka 2024. izvršeno je plaćanje druge</w:t>
      </w:r>
      <w:r w:rsidRPr="007466EF">
        <w:t xml:space="preserve"> od pet rata obveza Republike Hrvatske za uplatu u kapital Europskog mehanizma za stabilnost (ESM) u iznosu od 84.458.000,00 eura. </w:t>
      </w:r>
    </w:p>
    <w:p w14:paraId="0C0BF08F" w14:textId="7058A817" w:rsidR="00864F97" w:rsidRPr="007466EF" w:rsidRDefault="00864F97" w:rsidP="00864F97">
      <w:pPr>
        <w:pStyle w:val="Odlomakpopisa"/>
        <w:numPr>
          <w:ilvl w:val="0"/>
          <w:numId w:val="2"/>
        </w:numPr>
        <w:jc w:val="both"/>
      </w:pPr>
      <w:r w:rsidRPr="007466EF">
        <w:t xml:space="preserve">Dana </w:t>
      </w:r>
      <w:r w:rsidR="00EE0658" w:rsidRPr="007466EF">
        <w:t>26. ožujka 2024. izvršeno je plaćanje druge</w:t>
      </w:r>
      <w:r w:rsidRPr="007466EF">
        <w:t xml:space="preserve"> rate u iznosu od 921.096,29 eura u okviru sudjelovanja Republike Hrvatske u 20. nadopuni sredstava Međunarodnog udruženja za razvoj (International Development </w:t>
      </w:r>
      <w:proofErr w:type="spellStart"/>
      <w:r w:rsidRPr="007466EF">
        <w:t>Association</w:t>
      </w:r>
      <w:proofErr w:type="spellEnd"/>
      <w:r w:rsidRPr="007466EF">
        <w:t xml:space="preserve"> - IDA). Vlada RH je 18. kolovoza 2022. (Narodne novine, broj 96/22) donijela Odluku o sudjelovanju Republike Hrvatske u 20. nadopuni sredstava Međunarodnog udruženja za razvoj. Navedenom Odlukom prihvaćeno je sudjelovanje Republike Hrvatske u 20. nadopuni sredstava </w:t>
      </w:r>
      <w:r w:rsidRPr="007466EF">
        <w:lastRenderedPageBreak/>
        <w:t xml:space="preserve">IDA-e na temelju Rezolucije Odbora guvernera IDA-a br. 248 od 31. ožujka 2022. Sukladno Rezoluciji, za RH je nastala obveza deponiranja pri IDA-i dokumenta (Instrument </w:t>
      </w:r>
      <w:proofErr w:type="spellStart"/>
      <w:r w:rsidRPr="007466EF">
        <w:t>of</w:t>
      </w:r>
      <w:proofErr w:type="spellEnd"/>
      <w:r w:rsidRPr="007466EF">
        <w:t xml:space="preserve"> </w:t>
      </w:r>
      <w:proofErr w:type="spellStart"/>
      <w:r w:rsidRPr="007466EF">
        <w:t>Commitment</w:t>
      </w:r>
      <w:proofErr w:type="spellEnd"/>
      <w:r w:rsidRPr="007466EF">
        <w:t>) kojim se Vlada RH obvezuje uplatiti 21.000.000,00 kuna kroz tri godišnje rate.</w:t>
      </w:r>
    </w:p>
    <w:p w14:paraId="5F03BCBB" w14:textId="71CAB993" w:rsidR="00864F97" w:rsidRPr="007466EF" w:rsidRDefault="00864F97" w:rsidP="00864F97">
      <w:pPr>
        <w:pStyle w:val="Odlomakpopisa"/>
        <w:numPr>
          <w:ilvl w:val="0"/>
          <w:numId w:val="2"/>
        </w:numPr>
        <w:jc w:val="both"/>
      </w:pPr>
      <w:r w:rsidRPr="007466EF">
        <w:t xml:space="preserve">izdatak u iznosu od </w:t>
      </w:r>
      <w:r w:rsidR="00EE0658" w:rsidRPr="007466EF">
        <w:t>1.831.699,17</w:t>
      </w:r>
      <w:r w:rsidRPr="007466EF">
        <w:t xml:space="preserve"> eura odnosi se na ulaganje Republike Hrvatske u Investicijski fond Inicijative triju mora temeljem Odluke Vlade Republike Hrvatske o ulaganju Republike Hrvatske u  Investicijski fond Inicijative triju mora</w:t>
      </w:r>
      <w:r w:rsidR="000F0D22" w:rsidRPr="007466EF">
        <w:t xml:space="preserve"> od 14. listopada 2020.</w:t>
      </w:r>
      <w:r w:rsidRPr="007466EF">
        <w:t>,</w:t>
      </w:r>
    </w:p>
    <w:p w14:paraId="2D6C3C8F" w14:textId="7F702C5E" w:rsidR="00864F97" w:rsidRPr="007466EF" w:rsidRDefault="00864F97" w:rsidP="00864F97">
      <w:pPr>
        <w:pStyle w:val="Odlomakpopisa"/>
        <w:numPr>
          <w:ilvl w:val="0"/>
          <w:numId w:val="2"/>
        </w:numPr>
        <w:jc w:val="both"/>
      </w:pPr>
      <w:r w:rsidRPr="007466EF">
        <w:t xml:space="preserve">izdatak od </w:t>
      </w:r>
      <w:r w:rsidR="00EE0658" w:rsidRPr="007466EF">
        <w:t xml:space="preserve">189.071,66 </w:t>
      </w:r>
      <w:r w:rsidRPr="007466EF">
        <w:t>eura odnosi se na uplatu u korist članskog kapitala RH u Azijskoj infrastrukturnoj investicijskoj b</w:t>
      </w:r>
      <w:r w:rsidR="00EE0658" w:rsidRPr="007466EF">
        <w:t>anci (AIIB). Ova uplata je četvrta</w:t>
      </w:r>
      <w:r w:rsidRPr="007466EF">
        <w:t xml:space="preserve"> od pet rata kapitala koji je RH dužna uplatiti postavši krajem 2021. punopravnom članicom AIIB-a, temeljem čl. 4. Zakona o potvrđivanju Statuta Azijske infrastrukturne investicijske banke (NN-MU br. 7/2021).</w:t>
      </w:r>
    </w:p>
    <w:p w14:paraId="217FC84D" w14:textId="57C85F50" w:rsidR="00EE0658" w:rsidRPr="007466EF" w:rsidRDefault="00EE0658" w:rsidP="00EE0658">
      <w:pPr>
        <w:jc w:val="both"/>
      </w:pPr>
    </w:p>
    <w:p w14:paraId="3CFD5375" w14:textId="51A785E5" w:rsidR="00EE0658" w:rsidRPr="007466EF" w:rsidRDefault="00CD696B" w:rsidP="00EE0658">
      <w:pPr>
        <w:jc w:val="both"/>
      </w:pPr>
      <w:r w:rsidRPr="007466EF">
        <w:t xml:space="preserve">Dodatno, u </w:t>
      </w:r>
      <w:r w:rsidR="00520E26" w:rsidRPr="007466EF">
        <w:t>okviru ovih izdataka iskazan je iznos od 54.347.946,00 eura kojeg je Ministarstvo financija podmirilo na ime 44.205.369 posebnih prava vučenja koji moraju biti na računu posebnih prava vučenja kod HNB s osnove naslova sukcesije članstva u MMF-u.</w:t>
      </w:r>
    </w:p>
    <w:p w14:paraId="34FEE684" w14:textId="1FDBE10A" w:rsidR="005A0E37" w:rsidRDefault="00520E26" w:rsidP="00CD696B">
      <w:pPr>
        <w:jc w:val="both"/>
      </w:pPr>
      <w:r w:rsidRPr="007466EF">
        <w:t xml:space="preserve">Naime, </w:t>
      </w:r>
      <w:r w:rsidR="00CD696B" w:rsidRPr="007466EF">
        <w:t>Vlada RH donijela je Odluku o načinu vođenja poslova i izmirivanju obveza koje proizlaze iz članstva Republike Hrvatske u Međunarodnom monetarnom fondu (NN, br. 28/24</w:t>
      </w:r>
      <w:r w:rsidRPr="007466EF">
        <w:t>.</w:t>
      </w:r>
      <w:r w:rsidR="00CD696B" w:rsidRPr="007466EF">
        <w:t>), prema kojoj preuzete obveze Republike Hrvatske prema Fondu temeljem sukcesije članstva u Fondu vezane za 1. i 2. opću alokaciju posebnih prava vučenja u ukupnom iznosu od 44.205.369 SDR-a podmiruje Ministarstvo financija. Naime, Zakonom o prihvaćanju članstva Republike Hrvatske u MMF-u i drugim financijskim organiza</w:t>
      </w:r>
      <w:r w:rsidR="000F0D22" w:rsidRPr="007466EF">
        <w:t>cijama na temelju sukcesije (Narodne novine,</w:t>
      </w:r>
      <w:r w:rsidR="00CD696B" w:rsidRPr="007466EF">
        <w:t xml:space="preserve"> br. 89/92</w:t>
      </w:r>
      <w:r w:rsidR="000F0D22" w:rsidRPr="007466EF">
        <w:t>.</w:t>
      </w:r>
      <w:r w:rsidR="00CD696B" w:rsidRPr="007466EF">
        <w:t>), Republika Hrvatska je prihvatila članstvo u MMF-u na temelju sukcesije članstva bivše SFRJ u MMF-u u skladu s uvjetima iz Odluke Izvrš</w:t>
      </w:r>
      <w:r w:rsidR="000F0D22" w:rsidRPr="007466EF">
        <w:t>nog odbora MMF-a iz 1992</w:t>
      </w:r>
      <w:r w:rsidR="00CD696B" w:rsidRPr="007466EF">
        <w:t>. HNB je Zakonom ovlaštena u ime Republike Hrvatske obavljati sve poslove i transakcije prema propisima MMF-a, te je određena kao depozitar za držanje valuta u vlasništvu MMF-a. Pre</w:t>
      </w:r>
      <w:r w:rsidRPr="007466EF">
        <w:t>ma Odluci Izvršnog odbor</w:t>
      </w:r>
      <w:r w:rsidR="00CD696B" w:rsidRPr="007466EF">
        <w:t>a MMF-a, udjel Republike Hrvatske u aktivi i pasivi bivše SFRJ u MMF-u određen je u iznosu 28,49%. Slijedom navedenog, RH je s naslova sukcesije članstva u MMF-u preuzela obvezu po neto kumulativnoj alokaciji (1. i 2. opća alokacija) u iznosu od 44.205.369 SDR.</w:t>
      </w:r>
      <w:r w:rsidRPr="007466EF">
        <w:t xml:space="preserve"> </w:t>
      </w:r>
      <w:r w:rsidR="00CD696B" w:rsidRPr="007466EF">
        <w:t xml:space="preserve">Ministarstvo financija 2. srpnja 2024. podmirilo je </w:t>
      </w:r>
      <w:r w:rsidRPr="007466EF">
        <w:t>54.347.946,00 eura</w:t>
      </w:r>
      <w:r w:rsidR="00CD696B" w:rsidRPr="007466EF">
        <w:t xml:space="preserve"> na ime 44.205.369 posebnih prava vučenja koji moraju biti na računu posebnih prava vučenja kod HNB s osnove naslova sukcesije članstva u MMF-u.</w:t>
      </w:r>
    </w:p>
    <w:p w14:paraId="515507DC" w14:textId="4108EB01" w:rsidR="004A67E8" w:rsidRDefault="004A67E8" w:rsidP="00CD696B">
      <w:pPr>
        <w:jc w:val="both"/>
      </w:pPr>
    </w:p>
    <w:p w14:paraId="0E2C570A" w14:textId="3F1365B8" w:rsidR="004A67E8" w:rsidRPr="007466EF" w:rsidRDefault="004A67E8" w:rsidP="00CD696B">
      <w:pPr>
        <w:jc w:val="both"/>
      </w:pPr>
      <w:r>
        <w:t>U</w:t>
      </w:r>
      <w:r w:rsidRPr="004A67E8">
        <w:t>djeli u MMF-u te depoziti međunarodnih pričuva u SDR-ima</w:t>
      </w:r>
      <w:r>
        <w:t xml:space="preserve"> evidentirani</w:t>
      </w:r>
      <w:r w:rsidRPr="004A67E8">
        <w:t xml:space="preserve"> </w:t>
      </w:r>
      <w:r>
        <w:t>su u bilanci HNB-a.</w:t>
      </w:r>
    </w:p>
    <w:p w14:paraId="1BDB2366" w14:textId="77777777" w:rsidR="00CD696B" w:rsidRPr="007466EF" w:rsidRDefault="00CD696B" w:rsidP="00EE0658">
      <w:pPr>
        <w:jc w:val="both"/>
        <w:rPr>
          <w:color w:val="000000"/>
        </w:rPr>
      </w:pPr>
    </w:p>
    <w:p w14:paraId="606AC0D7" w14:textId="1A8BF4E9" w:rsidR="00864F97" w:rsidRPr="007466EF" w:rsidRDefault="009312C1" w:rsidP="00864F97">
      <w:pPr>
        <w:pStyle w:val="Odlomakpopisa"/>
        <w:ind w:hanging="720"/>
        <w:jc w:val="center"/>
      </w:pPr>
      <w:r w:rsidRPr="007466EF">
        <w:rPr>
          <w:sz w:val="28"/>
          <w:szCs w:val="28"/>
        </w:rPr>
        <w:t>Bilješka 65</w:t>
      </w:r>
      <w:r w:rsidR="00864F97" w:rsidRPr="007466EF">
        <w:rPr>
          <w:sz w:val="28"/>
          <w:szCs w:val="28"/>
        </w:rPr>
        <w:t>.</w:t>
      </w:r>
    </w:p>
    <w:p w14:paraId="7A74F3E2" w14:textId="3A3D14B5" w:rsidR="00864F97" w:rsidRPr="007466EF" w:rsidRDefault="00864F97" w:rsidP="00864F97">
      <w:pPr>
        <w:pStyle w:val="Odlomakpopisa"/>
        <w:keepNext/>
        <w:jc w:val="center"/>
        <w:rPr>
          <w:sz w:val="28"/>
          <w:szCs w:val="28"/>
        </w:rPr>
      </w:pPr>
      <w:r w:rsidRPr="007466EF">
        <w:rPr>
          <w:sz w:val="28"/>
          <w:szCs w:val="28"/>
        </w:rPr>
        <w:t xml:space="preserve">Šifra 5341 Dionice i udjeli u glavnici tuzemnih trgovačkih društava izvan javnog sektora </w:t>
      </w:r>
    </w:p>
    <w:p w14:paraId="299B8D7B" w14:textId="6BA32C57" w:rsidR="00520E26" w:rsidRPr="007466EF" w:rsidRDefault="00520E26" w:rsidP="00520E26">
      <w:pPr>
        <w:jc w:val="both"/>
      </w:pPr>
      <w:r w:rsidRPr="007466EF">
        <w:t>Izdaci za dionice i udjele u glavnici tuzemnih trgovačkih društava izvan javnog sektora u 2024. izvršeni su u ukupnom iznosu od 8.246.179,33 eura, dok su u istom razdoblju 2023. nije bilo izdataka s ove osnove čime se bilježi stopostotno povećanje kroz promatrano razdoblje.</w:t>
      </w:r>
    </w:p>
    <w:p w14:paraId="4DBB06AF" w14:textId="77777777" w:rsidR="00520E26" w:rsidRPr="007466EF" w:rsidRDefault="00520E26" w:rsidP="00520E26">
      <w:pPr>
        <w:jc w:val="both"/>
      </w:pPr>
    </w:p>
    <w:p w14:paraId="47510FF3" w14:textId="77777777" w:rsidR="00520E26" w:rsidRPr="007466EF" w:rsidRDefault="00520E26" w:rsidP="00520E26">
      <w:pPr>
        <w:jc w:val="both"/>
      </w:pPr>
      <w:r w:rsidRPr="007466EF">
        <w:t>Sukladno Odluci Vlade RH o otkupu poslovnih udjela u društvu ULJANIK Brodogradnja 1856 d.o.o., Pula (KLASA: 022-03/24-04/114, URBROJ: 50301-05/27-24-4) od 14. ožujka 2024., Centar za restrukturiranje i prodaju je u ime i za račun Republike Hrvatske otkupio poslovne udjele u društvu ULJANIK Brodogradnja 1856 d.o.o., Pula po cijeni od 6.911.540,00 EUR iz sredstava od prodaje dionica i udjela u vlasništvu Republike Hrvatske.</w:t>
      </w:r>
    </w:p>
    <w:p w14:paraId="0BDDB2D9" w14:textId="4032DA7D" w:rsidR="00520E26" w:rsidRPr="007466EF" w:rsidRDefault="00520E26" w:rsidP="00520E26">
      <w:pPr>
        <w:jc w:val="both"/>
      </w:pPr>
      <w:r w:rsidRPr="007466EF">
        <w:lastRenderedPageBreak/>
        <w:t>Također, 22. srpnja 2019. zaključen je stečajni postupak nad društvom HELIOS FAROS d.d. u stečaju te je prihvaćen Stečajni plan kojim se Ministarstvo financija novčano namirilo u 2019. u visini glavnice, a nenovčano namirenje zatezne kamate u iznosu do 100.558.400,00 kuna provelo se u 2024. uručenjem do najviše 1.005.584 komada dionica, svaka u nominalnom iznosu od 10,00 kuna, a u ukupnom nominalnom iznosu do najviše 10.055.840,00 kuna (</w:t>
      </w:r>
      <w:r w:rsidR="004A67E8" w:rsidRPr="004A67E8">
        <w:t>1.334.639,33</w:t>
      </w:r>
      <w:r w:rsidRPr="007466EF">
        <w:t xml:space="preserve"> EUR) u skladu s Rješenjem o potvrdi stečajnog plana, prijebojem potraživanja s osnova izdanih i protestiranih državnih jamstava s dionicama trgovačkog društva HELIOS FAROS d.d. u stečaju. Ministarstvo financija i društvo HELIOS FAROS d.d. stoga su z</w:t>
      </w:r>
      <w:r w:rsidR="000F0D22" w:rsidRPr="007466EF">
        <w:t>aključili 8. srpnja 2024.</w:t>
      </w:r>
      <w:r w:rsidRPr="007466EF">
        <w:t xml:space="preserve"> Ugovor o unosu prava – tražbina radi povećanja temeljnog kapitala dioničkog društva iz odobrenog temeljnog kapitala prema kojem Republika Hrvatska – Ministarstvo financija unosi u  temeljni kapital dioničkog društva HELIOS FAROS d.d. pravo -  tražbinu u nominalnom iznosu od </w:t>
      </w:r>
      <w:r w:rsidR="004A67E8" w:rsidRPr="004A67E8">
        <w:t>1.334.639,33</w:t>
      </w:r>
      <w:r w:rsidRPr="007466EF">
        <w:t xml:space="preserve"> EUR, tako da vjerovnik u temeljni kapital unesenog prava – tražbine stječe nove redovne dionice bez nominalne vrijednosti dioničkog društva HELIOS FAROS d.d., u broju od 1.005.584  komada, u nominalnom iznosu od 1.334.639,33 EUR.</w:t>
      </w:r>
    </w:p>
    <w:p w14:paraId="51D9EEDF" w14:textId="7E5D70E7" w:rsidR="000278C5" w:rsidRPr="007466EF" w:rsidRDefault="000278C5" w:rsidP="00520E26">
      <w:pPr>
        <w:jc w:val="both"/>
        <w:rPr>
          <w:color w:val="000000"/>
        </w:rPr>
      </w:pPr>
    </w:p>
    <w:p w14:paraId="36FD3120" w14:textId="0C22BF5F" w:rsidR="00864F97" w:rsidRPr="007466EF" w:rsidRDefault="009312C1" w:rsidP="00864F97">
      <w:pPr>
        <w:keepNext/>
        <w:jc w:val="center"/>
        <w:rPr>
          <w:sz w:val="28"/>
        </w:rPr>
      </w:pPr>
      <w:r w:rsidRPr="007466EF">
        <w:rPr>
          <w:sz w:val="28"/>
        </w:rPr>
        <w:t>Bilješka 66</w:t>
      </w:r>
      <w:r w:rsidR="00864F97" w:rsidRPr="007466EF">
        <w:rPr>
          <w:sz w:val="28"/>
        </w:rPr>
        <w:t>.</w:t>
      </w:r>
    </w:p>
    <w:p w14:paraId="2DA6A319" w14:textId="3C45A786" w:rsidR="00864F97" w:rsidRPr="007466EF" w:rsidRDefault="00864F97" w:rsidP="00864F97">
      <w:pPr>
        <w:keepNext/>
        <w:jc w:val="center"/>
        <w:rPr>
          <w:sz w:val="28"/>
          <w:szCs w:val="28"/>
        </w:rPr>
      </w:pPr>
      <w:r w:rsidRPr="007466EF">
        <w:rPr>
          <w:sz w:val="28"/>
          <w:szCs w:val="28"/>
        </w:rPr>
        <w:t>Šifra 5422 Izdaci za otplatu glavnice primljenih kredita od kreditnih institucija u javnom sektoru</w:t>
      </w:r>
    </w:p>
    <w:p w14:paraId="2E7AF69D" w14:textId="1DBC2E42" w:rsidR="000278C5" w:rsidRPr="007466EF" w:rsidRDefault="000278C5" w:rsidP="000278C5">
      <w:pPr>
        <w:keepNext/>
        <w:jc w:val="both"/>
      </w:pPr>
      <w:r w:rsidRPr="007466EF">
        <w:t>Na ime izdataka za otplatu glavnice primljenih kredita od kreditnih institucija u javnom sektoru u 2024. izvršeno je 119.049.886,38 eura dok je u 2023. izvršeno 31.452.832,80 eura izdataka s navedene osnove, što predstavlja povećanje od 278,5% u promatranom razdoblju.</w:t>
      </w:r>
    </w:p>
    <w:p w14:paraId="3E53BBBA" w14:textId="77777777" w:rsidR="000278C5" w:rsidRPr="007466EF" w:rsidRDefault="000278C5" w:rsidP="000278C5">
      <w:pPr>
        <w:keepNext/>
        <w:jc w:val="both"/>
      </w:pPr>
    </w:p>
    <w:p w14:paraId="2A86C7C1" w14:textId="7666E61B" w:rsidR="000278C5" w:rsidRPr="007466EF" w:rsidRDefault="00312DF9" w:rsidP="000278C5">
      <w:pPr>
        <w:keepNext/>
        <w:jc w:val="both"/>
      </w:pPr>
      <w:r w:rsidRPr="007466EF">
        <w:t>U okviru izdataka</w:t>
      </w:r>
      <w:r w:rsidR="000278C5" w:rsidRPr="007466EF">
        <w:t xml:space="preserve"> za otplatu glavnice primljenih kredita od kreditnih institucija u javnom sektoru </w:t>
      </w:r>
      <w:r w:rsidRPr="007466EF">
        <w:t xml:space="preserve">najznačajniji izdaci </w:t>
      </w:r>
      <w:r w:rsidR="000278C5" w:rsidRPr="007466EF">
        <w:t>odnose se na:</w:t>
      </w:r>
    </w:p>
    <w:p w14:paraId="60CF2F99" w14:textId="066D3014" w:rsidR="00864F97" w:rsidRPr="007466EF" w:rsidRDefault="00312DF9" w:rsidP="00B80BFC">
      <w:pPr>
        <w:pStyle w:val="Odlomakpopisa"/>
        <w:numPr>
          <w:ilvl w:val="0"/>
          <w:numId w:val="5"/>
        </w:numPr>
        <w:jc w:val="both"/>
      </w:pPr>
      <w:r w:rsidRPr="007466EF">
        <w:t>50,4</w:t>
      </w:r>
      <w:r w:rsidR="00864F97" w:rsidRPr="007466EF">
        <w:t xml:space="preserve"> milijuna eura za otplatu glavnice kredita kod Hrvatske poštanske banke temeljem Ugovora o kreditu za likvidnost, </w:t>
      </w:r>
    </w:p>
    <w:p w14:paraId="0761D854" w14:textId="29DEB804" w:rsidR="00864F97" w:rsidRPr="007466EF" w:rsidRDefault="00312DF9" w:rsidP="00B80BFC">
      <w:pPr>
        <w:pStyle w:val="Odlomakpopisa"/>
        <w:numPr>
          <w:ilvl w:val="0"/>
          <w:numId w:val="5"/>
        </w:numPr>
        <w:jc w:val="both"/>
      </w:pPr>
      <w:r w:rsidRPr="007466EF">
        <w:t>6,8</w:t>
      </w:r>
      <w:r w:rsidR="00864F97" w:rsidRPr="007466EF">
        <w:t xml:space="preserve"> milijuna eura na ime izdataka temeljem preuzetnog duga društva HŽ Putnički prijevoz,</w:t>
      </w:r>
    </w:p>
    <w:p w14:paraId="62CB32BB" w14:textId="77777777" w:rsidR="00864F97" w:rsidRPr="007466EF" w:rsidRDefault="00864F97" w:rsidP="00B80BFC">
      <w:pPr>
        <w:pStyle w:val="Odlomakpopisa"/>
        <w:numPr>
          <w:ilvl w:val="0"/>
          <w:numId w:val="5"/>
        </w:numPr>
        <w:jc w:val="both"/>
      </w:pPr>
      <w:r w:rsidRPr="007466EF">
        <w:t xml:space="preserve">3,3 milijuna eura na ime izdataka po preuzetim obvezama temeljem nagodbe između Republike Hrvatske i društva HŽ </w:t>
      </w:r>
      <w:proofErr w:type="spellStart"/>
      <w:r w:rsidRPr="007466EF">
        <w:t>Cargo</w:t>
      </w:r>
      <w:proofErr w:type="spellEnd"/>
      <w:r w:rsidRPr="007466EF">
        <w:t xml:space="preserve"> d.o.o. u svrhu restrukturiranja,</w:t>
      </w:r>
    </w:p>
    <w:p w14:paraId="28661A09" w14:textId="77777777" w:rsidR="00864F97" w:rsidRPr="007466EF" w:rsidRDefault="00864F97" w:rsidP="00B80BFC">
      <w:pPr>
        <w:pStyle w:val="Odlomakpopisa"/>
        <w:numPr>
          <w:ilvl w:val="0"/>
          <w:numId w:val="5"/>
        </w:numPr>
        <w:jc w:val="both"/>
      </w:pPr>
      <w:r w:rsidRPr="007466EF">
        <w:t>929.059,64 eura na ime izdataka prema HBOR-u, a za korisnika kredita Hrvatske vode, za financiranje radova planiranih Nacionalnim projektom navodnjavanja koji je dio Programa Vlade Republike Hrvatske.</w:t>
      </w:r>
    </w:p>
    <w:p w14:paraId="70018689" w14:textId="77777777" w:rsidR="00864F97" w:rsidRPr="007466EF" w:rsidRDefault="00864F97" w:rsidP="007466EF">
      <w:pPr>
        <w:jc w:val="both"/>
        <w:rPr>
          <w:color w:val="000000"/>
        </w:rPr>
      </w:pPr>
    </w:p>
    <w:p w14:paraId="0593299D" w14:textId="392B032D" w:rsidR="00864F97" w:rsidRPr="007466EF" w:rsidRDefault="009312C1" w:rsidP="00864F97">
      <w:pPr>
        <w:pStyle w:val="Odlomakpopisa"/>
        <w:ind w:hanging="720"/>
        <w:jc w:val="center"/>
      </w:pPr>
      <w:r w:rsidRPr="007466EF">
        <w:rPr>
          <w:sz w:val="28"/>
        </w:rPr>
        <w:t>Bilješka 67</w:t>
      </w:r>
      <w:r w:rsidR="00864F97" w:rsidRPr="007466EF">
        <w:rPr>
          <w:sz w:val="28"/>
        </w:rPr>
        <w:t>.</w:t>
      </w:r>
    </w:p>
    <w:p w14:paraId="4A6E0B5A" w14:textId="77777777" w:rsidR="00864F97" w:rsidRPr="007466EF" w:rsidRDefault="00864F97" w:rsidP="00864F97">
      <w:pPr>
        <w:pStyle w:val="Odlomakpopisa"/>
        <w:ind w:left="0"/>
        <w:jc w:val="center"/>
        <w:rPr>
          <w:sz w:val="28"/>
          <w:szCs w:val="28"/>
        </w:rPr>
      </w:pPr>
      <w:r w:rsidRPr="007466EF">
        <w:rPr>
          <w:sz w:val="28"/>
          <w:szCs w:val="28"/>
        </w:rPr>
        <w:t>Šifra 5443 Izdaci za otplatu glavnice primljenih kredita od tuzemnih kreditnih institucija izvan javnog sektora</w:t>
      </w:r>
    </w:p>
    <w:p w14:paraId="6F10B09A" w14:textId="46707302" w:rsidR="006D30BA" w:rsidRPr="007466EF" w:rsidRDefault="006D30BA" w:rsidP="006D30BA">
      <w:pPr>
        <w:pStyle w:val="Naslov"/>
        <w:jc w:val="both"/>
        <w:rPr>
          <w:b w:val="0"/>
          <w:bCs w:val="0"/>
          <w:sz w:val="24"/>
        </w:rPr>
      </w:pPr>
      <w:r w:rsidRPr="007466EF">
        <w:rPr>
          <w:b w:val="0"/>
          <w:bCs w:val="0"/>
          <w:sz w:val="24"/>
        </w:rPr>
        <w:t>Izdaci za</w:t>
      </w:r>
      <w:r w:rsidRPr="007466EF">
        <w:t xml:space="preserve"> </w:t>
      </w:r>
      <w:r w:rsidRPr="007466EF">
        <w:rPr>
          <w:b w:val="0"/>
          <w:bCs w:val="0"/>
          <w:sz w:val="24"/>
        </w:rPr>
        <w:t>otplate glavnica primljenih kredita od tuzemnih kreditnih institucija izvan javnog sektora 2024. izvršeni su u iznosu od 1.027.771.838,76 eura i manji su za 4,3% u odnosnu na izvršene izdatke u istom razdoblju prethodne godine.</w:t>
      </w:r>
    </w:p>
    <w:p w14:paraId="6E540100" w14:textId="77777777" w:rsidR="006D30BA" w:rsidRPr="007466EF" w:rsidRDefault="006D30BA" w:rsidP="006D30BA">
      <w:pPr>
        <w:pStyle w:val="Naslov"/>
        <w:jc w:val="both"/>
        <w:rPr>
          <w:b w:val="0"/>
          <w:bCs w:val="0"/>
          <w:sz w:val="24"/>
        </w:rPr>
      </w:pPr>
    </w:p>
    <w:p w14:paraId="27B73CFC" w14:textId="71C64570" w:rsidR="006D30BA" w:rsidRPr="007466EF" w:rsidRDefault="006D30BA" w:rsidP="006D30BA">
      <w:pPr>
        <w:jc w:val="both"/>
      </w:pPr>
      <w:r w:rsidRPr="007466EF">
        <w:t>Navedeni izdaci</w:t>
      </w:r>
      <w:r w:rsidR="009312C1" w:rsidRPr="007466EF">
        <w:t xml:space="preserve"> u 2024.</w:t>
      </w:r>
      <w:r w:rsidRPr="007466EF">
        <w:t xml:space="preserve"> najvećim se dijelom odnose na otplate glavnice primljenih kredita od Zagrebačke banke, </w:t>
      </w:r>
      <w:proofErr w:type="spellStart"/>
      <w:r w:rsidRPr="007466EF">
        <w:t>Erste&amp;Steiermärkische</w:t>
      </w:r>
      <w:proofErr w:type="spellEnd"/>
      <w:r w:rsidRPr="007466EF">
        <w:t xml:space="preserve"> banke te RBA - </w:t>
      </w:r>
      <w:proofErr w:type="spellStart"/>
      <w:r w:rsidRPr="007466EF">
        <w:t>Raiffeisenbank</w:t>
      </w:r>
      <w:proofErr w:type="spellEnd"/>
      <w:r w:rsidRPr="007466EF">
        <w:t xml:space="preserve"> Hrvatska. U okviru ovih izdataka evidentiraju se i otplate glavnica kredita Sveučilišta koji se podmiruju iz državnog proračuna.</w:t>
      </w:r>
    </w:p>
    <w:p w14:paraId="3FC87CC5" w14:textId="77777777" w:rsidR="00864F97" w:rsidRPr="007466EF" w:rsidRDefault="00864F97" w:rsidP="00864F97">
      <w:pPr>
        <w:jc w:val="both"/>
        <w:rPr>
          <w:color w:val="000000"/>
        </w:rPr>
      </w:pPr>
    </w:p>
    <w:p w14:paraId="09676869" w14:textId="661F10A4" w:rsidR="00864F97" w:rsidRPr="007466EF" w:rsidRDefault="00E958D6" w:rsidP="00864F97">
      <w:pPr>
        <w:keepNext/>
        <w:jc w:val="center"/>
        <w:rPr>
          <w:sz w:val="28"/>
        </w:rPr>
      </w:pPr>
      <w:r w:rsidRPr="007466EF">
        <w:rPr>
          <w:sz w:val="28"/>
        </w:rPr>
        <w:t>Bilješka 68</w:t>
      </w:r>
      <w:r w:rsidR="00864F97" w:rsidRPr="007466EF">
        <w:rPr>
          <w:sz w:val="28"/>
        </w:rPr>
        <w:t>.</w:t>
      </w:r>
    </w:p>
    <w:p w14:paraId="5F1D4BA0" w14:textId="7DD412C4" w:rsidR="00864F97" w:rsidRPr="007466EF" w:rsidRDefault="00864F97" w:rsidP="00864F97">
      <w:pPr>
        <w:jc w:val="center"/>
        <w:rPr>
          <w:sz w:val="28"/>
          <w:szCs w:val="28"/>
        </w:rPr>
      </w:pPr>
      <w:r w:rsidRPr="007466EF">
        <w:rPr>
          <w:sz w:val="28"/>
          <w:szCs w:val="28"/>
        </w:rPr>
        <w:t>Šifra 55</w:t>
      </w:r>
      <w:r w:rsidR="007E5D3D" w:rsidRPr="007466EF">
        <w:rPr>
          <w:sz w:val="28"/>
          <w:szCs w:val="28"/>
        </w:rPr>
        <w:t>1</w:t>
      </w:r>
      <w:r w:rsidRPr="007466EF">
        <w:rPr>
          <w:sz w:val="28"/>
          <w:szCs w:val="28"/>
        </w:rPr>
        <w:t xml:space="preserve"> Izdaci za otplatu glavnice za izdane </w:t>
      </w:r>
      <w:r w:rsidR="007E5D3D" w:rsidRPr="007466EF">
        <w:rPr>
          <w:sz w:val="28"/>
          <w:szCs w:val="28"/>
        </w:rPr>
        <w:t>trezorske zapise</w:t>
      </w:r>
    </w:p>
    <w:p w14:paraId="0EFEA49E" w14:textId="3E410CCF" w:rsidR="007E5D3D" w:rsidRPr="007466EF" w:rsidRDefault="007E5D3D" w:rsidP="007E5D3D">
      <w:pPr>
        <w:jc w:val="both"/>
      </w:pPr>
      <w:r w:rsidRPr="007466EF">
        <w:lastRenderedPageBreak/>
        <w:t>Izdaci za otplatu glavnice za izdane trezorske zapise u 2024. izvršeni su u iznosu od 3.560.308.810,57 eura. Za izdatke s osnove trezorskih zapisa u financijskom izvještaju državnog proračuna nema iskazanog iznosa s obzirom na to da se kratkoročni primici i izdaci u financijskom izvještaju iskazuju u neto iznosu nakon što se sučele prema istovrsnim kategorijama.</w:t>
      </w:r>
    </w:p>
    <w:p w14:paraId="59FE0030" w14:textId="77777777" w:rsidR="007E5D3D" w:rsidRPr="007466EF" w:rsidRDefault="007E5D3D" w:rsidP="007E5D3D">
      <w:pPr>
        <w:jc w:val="both"/>
      </w:pPr>
    </w:p>
    <w:p w14:paraId="005A1386" w14:textId="60953B1D" w:rsidR="007E5D3D" w:rsidRPr="007466EF" w:rsidRDefault="007E5D3D" w:rsidP="007E5D3D">
      <w:pPr>
        <w:jc w:val="both"/>
      </w:pPr>
      <w:r w:rsidRPr="007466EF">
        <w:t>Kratkoročni primici i izdaci u Glavnoj knjizi državnog proračuna evidentiraju se sukladno odredbama Zakona o proračunu po bruto načelu odnosno u punom iznosu. Sukladno Uputi o primjeni modificiranog novčanog načela u postupku planiranja i izvršavanja državnog proračuna i financijskih planova izvanproračunskih korisnika državnog proračuna (KLASA: 401-01/15-01/131, URBROJ: 513-05-03-19-3) kratkoročni primici i izdaci planiraju se i iskazuju u neto iznosu prema istovrsnim kategorijama. U financijskom izvještaju državnog proračuna kratkoročni primici i izdaci iskazuju se u neto iznosu nakon što se iznosi kratkoročnih primitaka i izdataka međusobno sučele prema istovrsnim kategorijama.</w:t>
      </w:r>
    </w:p>
    <w:p w14:paraId="5809A02D" w14:textId="77777777" w:rsidR="007E5D3D" w:rsidRPr="007466EF" w:rsidRDefault="007E5D3D" w:rsidP="007E5D3D">
      <w:pPr>
        <w:jc w:val="both"/>
        <w:rPr>
          <w:color w:val="000000"/>
        </w:rPr>
      </w:pPr>
    </w:p>
    <w:p w14:paraId="41D82FD9" w14:textId="47205899" w:rsidR="00864F97" w:rsidRPr="007466EF" w:rsidRDefault="00E958D6" w:rsidP="00864F97">
      <w:pPr>
        <w:keepNext/>
        <w:jc w:val="center"/>
        <w:rPr>
          <w:sz w:val="28"/>
        </w:rPr>
      </w:pPr>
      <w:r w:rsidRPr="007466EF">
        <w:rPr>
          <w:sz w:val="28"/>
        </w:rPr>
        <w:t>Bilješka 69</w:t>
      </w:r>
      <w:r w:rsidR="00864F97" w:rsidRPr="007466EF">
        <w:rPr>
          <w:sz w:val="28"/>
        </w:rPr>
        <w:t>.</w:t>
      </w:r>
    </w:p>
    <w:p w14:paraId="1DB06709" w14:textId="77777777" w:rsidR="00864F97" w:rsidRPr="007466EF" w:rsidRDefault="00864F97" w:rsidP="00864F97">
      <w:pPr>
        <w:keepNext/>
        <w:jc w:val="center"/>
        <w:rPr>
          <w:sz w:val="28"/>
          <w:szCs w:val="28"/>
        </w:rPr>
      </w:pPr>
      <w:r w:rsidRPr="007466EF">
        <w:rPr>
          <w:sz w:val="28"/>
          <w:szCs w:val="28"/>
        </w:rPr>
        <w:t>Šifra 552 Izdaci za otplatu glavnice za izdane obveznice</w:t>
      </w:r>
    </w:p>
    <w:p w14:paraId="3ECA520A" w14:textId="2308F1A7" w:rsidR="001079A3" w:rsidRPr="007466EF" w:rsidRDefault="00E958D6" w:rsidP="00864F97">
      <w:pPr>
        <w:keepNext/>
        <w:jc w:val="both"/>
      </w:pPr>
      <w:r w:rsidRPr="007466EF">
        <w:t xml:space="preserve">Izdaci </w:t>
      </w:r>
      <w:r w:rsidR="00864F97" w:rsidRPr="007466EF">
        <w:t xml:space="preserve">a za otplatu glavnice za izdane obveznice </w:t>
      </w:r>
      <w:r w:rsidR="001079A3" w:rsidRPr="007466EF">
        <w:t>u 2024. izvršeni su u iznosu od 3.161.787.057,01 eura dok su u 2023. izvršeni u iznosu od 2.667.173.758,82 eura što predstavlja povećanje od 18,5% u promatranom razdoblju.</w:t>
      </w:r>
    </w:p>
    <w:p w14:paraId="6809E07C" w14:textId="77777777" w:rsidR="001079A3" w:rsidRPr="007466EF" w:rsidRDefault="001079A3" w:rsidP="00864F97">
      <w:pPr>
        <w:keepNext/>
        <w:jc w:val="both"/>
      </w:pPr>
    </w:p>
    <w:p w14:paraId="301B0A9D" w14:textId="015848E8" w:rsidR="001079A3" w:rsidRPr="007466EF" w:rsidRDefault="001079A3" w:rsidP="00864F97">
      <w:pPr>
        <w:keepNext/>
        <w:jc w:val="both"/>
      </w:pPr>
      <w:r w:rsidRPr="007466EF">
        <w:t>Izdaci za otplatu glavnice za izdane obveznice odnose se na:</w:t>
      </w:r>
    </w:p>
    <w:p w14:paraId="29E60C17" w14:textId="17430359" w:rsidR="001079A3" w:rsidRPr="007466EF" w:rsidRDefault="00864F97" w:rsidP="006D1EBD">
      <w:pPr>
        <w:pStyle w:val="Odlomakpopisa"/>
        <w:numPr>
          <w:ilvl w:val="0"/>
          <w:numId w:val="5"/>
        </w:numPr>
        <w:jc w:val="both"/>
      </w:pPr>
      <w:r w:rsidRPr="007466EF">
        <w:rPr>
          <w:i/>
        </w:rPr>
        <w:t>Izdaci za otplatu glavnice za izdane obveznice u zemlji</w:t>
      </w:r>
      <w:r w:rsidR="001079A3" w:rsidRPr="007466EF">
        <w:t xml:space="preserve"> u 2024</w:t>
      </w:r>
      <w:r w:rsidRPr="007466EF">
        <w:t xml:space="preserve">. </w:t>
      </w:r>
      <w:r w:rsidR="001079A3" w:rsidRPr="007466EF">
        <w:t>izvršeni</w:t>
      </w:r>
      <w:r w:rsidRPr="007466EF">
        <w:t xml:space="preserve"> su u iznosu od </w:t>
      </w:r>
      <w:r w:rsidR="001079A3" w:rsidRPr="007466EF">
        <w:t>1.864.529.829,45</w:t>
      </w:r>
      <w:r w:rsidR="000B5FBC" w:rsidRPr="007466EF">
        <w:t xml:space="preserve"> eura i bilježe povećanje od 24,3% u odnosu na izdatke u 2023. kada su izvršeni u iznosu od 1.499.767.735,00 eura.</w:t>
      </w:r>
      <w:r w:rsidR="006D1EBD" w:rsidRPr="007466EF">
        <w:t xml:space="preserve"> </w:t>
      </w:r>
      <w:r w:rsidR="000F0D22" w:rsidRPr="007466EF">
        <w:t>Dana 10. srpnja 2024.</w:t>
      </w:r>
      <w:r w:rsidR="006D1EBD" w:rsidRPr="007466EF">
        <w:t xml:space="preserve"> dospjela je i iskupljena obveznica u iznosu 1.400.000.000,00 eura izdana uz nepromjenjivi kamatni kupon 5,75% polugodišnje. Također, dana 27. studenoga 2024. dospjela je i iskupljena obveznica u iznosu 464.529.829,45 eura uz nepromjenjivi kamatni kupon 0,250% polugodišnje, što u je ukupnom iznosu 1.864.529.829,45 eura.</w:t>
      </w:r>
    </w:p>
    <w:p w14:paraId="4F2FEA4E" w14:textId="2010E338" w:rsidR="00864F97" w:rsidRPr="007466EF" w:rsidRDefault="00864F97" w:rsidP="00C40D2A">
      <w:pPr>
        <w:pStyle w:val="Odlomakpopisa"/>
        <w:numPr>
          <w:ilvl w:val="0"/>
          <w:numId w:val="5"/>
        </w:numPr>
        <w:jc w:val="both"/>
      </w:pPr>
      <w:r w:rsidRPr="007466EF">
        <w:rPr>
          <w:i/>
        </w:rPr>
        <w:t>Izdaci za otplatu glavnice za izdane obveznice u inozemstvu</w:t>
      </w:r>
      <w:r w:rsidRPr="007466EF">
        <w:t xml:space="preserve"> u 202</w:t>
      </w:r>
      <w:r w:rsidR="001079A3" w:rsidRPr="007466EF">
        <w:t>4. izvršen</w:t>
      </w:r>
      <w:r w:rsidRPr="007466EF">
        <w:t>i su u iz</w:t>
      </w:r>
      <w:r w:rsidR="001079A3" w:rsidRPr="007466EF">
        <w:t xml:space="preserve">nosu u iznosu od 1.297.257.227,56 eura i bilježe povećanje od 11,1% </w:t>
      </w:r>
      <w:r w:rsidR="000B5FBC" w:rsidRPr="007466EF">
        <w:t xml:space="preserve">u odnosu na izdatke u </w:t>
      </w:r>
      <w:r w:rsidR="001079A3" w:rsidRPr="007466EF">
        <w:t xml:space="preserve">2023. kada su izvršeni u iznosu od 1.167.406.023,82 eura. Navedeni izdatak odnosi se na otplatu glavnice obveznice izdane 2013. u iznosu od 1,75 milijarde USD i </w:t>
      </w:r>
      <w:proofErr w:type="spellStart"/>
      <w:r w:rsidR="001079A3" w:rsidRPr="007466EF">
        <w:t>swapirane</w:t>
      </w:r>
      <w:proofErr w:type="spellEnd"/>
      <w:r w:rsidR="001079A3" w:rsidRPr="007466EF">
        <w:t xml:space="preserve"> u eure po fiksnom tečaju konverzije 1,3490 USD.</w:t>
      </w:r>
    </w:p>
    <w:p w14:paraId="7C3C8A39" w14:textId="77777777" w:rsidR="00864F97" w:rsidRPr="007466EF" w:rsidRDefault="00864F97" w:rsidP="00864F97">
      <w:pPr>
        <w:pStyle w:val="StandardWeb"/>
        <w:shd w:val="clear" w:color="auto" w:fill="FFFFFF"/>
        <w:spacing w:before="0" w:beforeAutospacing="0" w:after="0" w:afterAutospacing="0"/>
        <w:rPr>
          <w:rFonts w:ascii="Calibri" w:hAnsi="Calibri" w:cs="Calibri"/>
          <w:color w:val="000000"/>
        </w:rPr>
        <w:sectPr w:rsidR="00864F97" w:rsidRPr="007466EF">
          <w:footerReference w:type="default" r:id="rId10"/>
          <w:pgSz w:w="11906" w:h="16838"/>
          <w:pgMar w:top="1417" w:right="1417" w:bottom="1417" w:left="1417" w:header="708" w:footer="708" w:gutter="0"/>
          <w:cols w:space="708"/>
          <w:docGrid w:linePitch="360"/>
        </w:sectPr>
      </w:pPr>
    </w:p>
    <w:p w14:paraId="730E7068" w14:textId="77777777" w:rsidR="001B4284" w:rsidRPr="007466EF" w:rsidRDefault="001B4284" w:rsidP="001B4284">
      <w:pPr>
        <w:pageBreakBefore/>
        <w:jc w:val="center"/>
        <w:outlineLvl w:val="0"/>
        <w:rPr>
          <w:b/>
          <w:bCs/>
          <w:sz w:val="28"/>
        </w:rPr>
      </w:pPr>
      <w:r w:rsidRPr="007466EF">
        <w:rPr>
          <w:b/>
          <w:bCs/>
          <w:sz w:val="28"/>
        </w:rPr>
        <w:lastRenderedPageBreak/>
        <w:t>BILJEŠKE UZ BILANCU</w:t>
      </w:r>
    </w:p>
    <w:p w14:paraId="0BFB3846" w14:textId="77777777" w:rsidR="001B4284" w:rsidRPr="007466EF" w:rsidRDefault="001B4284" w:rsidP="001B4284">
      <w:pPr>
        <w:jc w:val="both"/>
        <w:rPr>
          <w:bCs/>
          <w:szCs w:val="28"/>
        </w:rPr>
      </w:pPr>
    </w:p>
    <w:p w14:paraId="3FAA9DE3" w14:textId="77777777" w:rsidR="001B4284" w:rsidRPr="007466EF" w:rsidRDefault="001B4284" w:rsidP="001B4284">
      <w:pPr>
        <w:keepNext/>
        <w:jc w:val="center"/>
        <w:rPr>
          <w:sz w:val="28"/>
        </w:rPr>
      </w:pPr>
      <w:r w:rsidRPr="007466EF">
        <w:rPr>
          <w:sz w:val="28"/>
        </w:rPr>
        <w:t xml:space="preserve">Bilješka 1. </w:t>
      </w:r>
    </w:p>
    <w:p w14:paraId="0F77D9BF" w14:textId="77777777" w:rsidR="001B4284" w:rsidRPr="007466EF" w:rsidRDefault="001B4284" w:rsidP="001B4284">
      <w:pPr>
        <w:jc w:val="both"/>
        <w:rPr>
          <w:szCs w:val="20"/>
        </w:rPr>
      </w:pPr>
      <w:r w:rsidRPr="007466EF">
        <w:rPr>
          <w:szCs w:val="20"/>
        </w:rPr>
        <w:t xml:space="preserve">Obrazac BIL Državnog proračuna izrađen je na temelju podatka sadržanih u Glavnoj knjizi proračuna. Kako je već navedeno, Glavnu knjigu proračuna informatički podržava SAP sustav koji je izgrađen prvenstveno kao transakcijski sustav u koji se ručno unose podaci iz ostalih računovodstvenih sustava proračunskih korisnika temeljem zahtjeva za plaćanje. Kroz projekt povezivanja informacijskih sustava proračunskih korisnika i sustava državne riznice stvorile su se pretpostavke za razvoj cjelovite računovodstvene funkcije. Projektom je razvijen </w:t>
      </w:r>
      <w:proofErr w:type="spellStart"/>
      <w:r w:rsidRPr="007466EF">
        <w:rPr>
          <w:szCs w:val="20"/>
        </w:rPr>
        <w:t>Gateway</w:t>
      </w:r>
      <w:proofErr w:type="spellEnd"/>
      <w:r w:rsidRPr="007466EF">
        <w:rPr>
          <w:szCs w:val="20"/>
        </w:rPr>
        <w:t xml:space="preserve"> kao središnji sustav za razmjenu elektroničkih dokumenata između sustava proračunskih korisnika i sustava državne riznice, a povezivanjem svih proračunskih korisnika dobit će se cjeloviti podaci o obvezama korisnika u Glavnoj knjizi proračuna. Iako je napravljen veliki iskorak u stvaranju cjelovite Bilance u odnosu na ranije godine, još uvijek se dio evidencija o obvezama i najveći dio potraživanja koje su unesene u Glavnu knjigu kroz SAP sustav temelje na ručnim knjiženjima djelatnika u Državnoj riznici, a podloga im je u analitičkim evidencijama koje su kod proračunskih korisnika i/ili pojedinih organizacijskih jedinica Ministarstva financija. Kao što je naglašeno, do potpunog povezivanja analitičkih evidencija svih proračunskih korisnika nemoguće je ručnim knjiženjima pratiti sve poslovne događaje i transakcije vezane uz bilančne pozicije svih subjekata središnje države. Konsolidacijom bilanci proračunskih korisnika s bilancom Državnog proračuna dobivaju se sveobuhvatni podaci o potraživanjima i obvezama Državnog proračuna.</w:t>
      </w:r>
    </w:p>
    <w:p w14:paraId="03E9246B" w14:textId="77777777" w:rsidR="001B4284" w:rsidRPr="007466EF" w:rsidRDefault="001B4284" w:rsidP="001B4284">
      <w:pPr>
        <w:jc w:val="both"/>
        <w:rPr>
          <w:color w:val="000000"/>
        </w:rPr>
      </w:pPr>
    </w:p>
    <w:p w14:paraId="2226E0E8" w14:textId="77777777" w:rsidR="001B4284" w:rsidRPr="007466EF" w:rsidRDefault="001B4284" w:rsidP="001B4284">
      <w:pPr>
        <w:keepNext/>
        <w:jc w:val="center"/>
        <w:rPr>
          <w:sz w:val="28"/>
        </w:rPr>
      </w:pPr>
      <w:r w:rsidRPr="007466EF">
        <w:rPr>
          <w:sz w:val="28"/>
        </w:rPr>
        <w:t>Bilješka 2.</w:t>
      </w:r>
    </w:p>
    <w:p w14:paraId="488EFB6C" w14:textId="768E9F56" w:rsidR="001B4284" w:rsidRPr="007466EF" w:rsidRDefault="001B4284" w:rsidP="007466EF">
      <w:pPr>
        <w:keepNext/>
        <w:jc w:val="center"/>
        <w:rPr>
          <w:bCs/>
          <w:sz w:val="28"/>
        </w:rPr>
      </w:pPr>
      <w:r w:rsidRPr="007466EF">
        <w:rPr>
          <w:bCs/>
          <w:sz w:val="28"/>
        </w:rPr>
        <w:t>Šifra 11 Nova</w:t>
      </w:r>
      <w:r w:rsidR="007466EF">
        <w:rPr>
          <w:bCs/>
          <w:sz w:val="28"/>
        </w:rPr>
        <w:t>c u banci i blagajni</w:t>
      </w:r>
    </w:p>
    <w:p w14:paraId="30504197" w14:textId="77777777" w:rsidR="001B4284" w:rsidRPr="007466EF" w:rsidRDefault="001B4284" w:rsidP="001B4284">
      <w:pPr>
        <w:keepNext/>
        <w:jc w:val="both"/>
      </w:pPr>
      <w:r w:rsidRPr="007466EF">
        <w:t>Stanje na šifri 11 Novac u banci i blagajni na dan 31. prosinca 2024. obuhvaćaju stanja novčanih sredstva kako slijedi:</w:t>
      </w:r>
    </w:p>
    <w:p w14:paraId="11F11227" w14:textId="77777777" w:rsidR="001B4284" w:rsidRPr="007466EF" w:rsidRDefault="001B4284" w:rsidP="001B4284">
      <w:pPr>
        <w:jc w:val="both"/>
        <w:rPr>
          <w:b/>
          <w:sz w:val="20"/>
          <w:szCs w:val="20"/>
        </w:rPr>
      </w:pPr>
    </w:p>
    <w:p w14:paraId="685222E7" w14:textId="77777777" w:rsidR="001B4284" w:rsidRPr="007466EF" w:rsidRDefault="001B4284" w:rsidP="001B4284">
      <w:pPr>
        <w:jc w:val="both"/>
        <w:rPr>
          <w:b/>
          <w:sz w:val="20"/>
          <w:szCs w:val="20"/>
        </w:rPr>
      </w:pPr>
      <w:r w:rsidRPr="007466EF">
        <w:rPr>
          <w:b/>
          <w:sz w:val="20"/>
          <w:szCs w:val="20"/>
        </w:rPr>
        <w:t>Tablica 1. Stanje novca u banci i blagajni</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4997"/>
        <w:gridCol w:w="1666"/>
      </w:tblGrid>
      <w:tr w:rsidR="001B4284" w:rsidRPr="007466EF" w14:paraId="666245CA" w14:textId="77777777" w:rsidTr="000F0D22">
        <w:trPr>
          <w:trHeight w:val="22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1F5B9" w14:textId="77777777" w:rsidR="001B4284" w:rsidRPr="007466EF" w:rsidRDefault="001B4284" w:rsidP="001B4284">
            <w:pPr>
              <w:rPr>
                <w:b/>
                <w:bCs/>
                <w:sz w:val="20"/>
                <w:szCs w:val="20"/>
              </w:rPr>
            </w:pPr>
            <w:r w:rsidRPr="007466EF">
              <w:rPr>
                <w:b/>
                <w:bCs/>
                <w:sz w:val="20"/>
                <w:szCs w:val="20"/>
              </w:rPr>
              <w:t> </w:t>
            </w:r>
          </w:p>
        </w:tc>
        <w:tc>
          <w:tcPr>
            <w:tcW w:w="4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C9312" w14:textId="77777777" w:rsidR="001B4284" w:rsidRPr="007466EF" w:rsidRDefault="001B4284" w:rsidP="001B4284">
            <w:pPr>
              <w:rPr>
                <w:b/>
                <w:bCs/>
                <w:sz w:val="20"/>
                <w:szCs w:val="20"/>
              </w:rPr>
            </w:pPr>
            <w:r w:rsidRPr="007466EF">
              <w:rPr>
                <w:b/>
                <w:bCs/>
                <w:sz w:val="20"/>
                <w:szCs w:val="20"/>
              </w:rPr>
              <w:t>NOVČANA SREDSTVA</w:t>
            </w:r>
          </w:p>
        </w:tc>
        <w:tc>
          <w:tcPr>
            <w:tcW w:w="1666" w:type="dxa"/>
            <w:tcBorders>
              <w:top w:val="single" w:sz="4" w:space="0" w:color="auto"/>
              <w:left w:val="single" w:sz="4" w:space="0" w:color="auto"/>
              <w:bottom w:val="single" w:sz="4" w:space="0" w:color="auto"/>
              <w:right w:val="single" w:sz="4" w:space="0" w:color="auto"/>
            </w:tcBorders>
            <w:vAlign w:val="center"/>
          </w:tcPr>
          <w:p w14:paraId="5B7303B6" w14:textId="77777777" w:rsidR="001B4284" w:rsidRPr="007466EF" w:rsidRDefault="001B4284" w:rsidP="001B4284">
            <w:pPr>
              <w:jc w:val="right"/>
              <w:rPr>
                <w:b/>
                <w:sz w:val="20"/>
              </w:rPr>
            </w:pPr>
            <w:r w:rsidRPr="007466EF">
              <w:rPr>
                <w:b/>
                <w:sz w:val="20"/>
              </w:rPr>
              <w:t>2.335.797.804,53</w:t>
            </w:r>
          </w:p>
        </w:tc>
      </w:tr>
      <w:tr w:rsidR="001B4284" w:rsidRPr="007466EF" w14:paraId="2C2652C8" w14:textId="77777777" w:rsidTr="000F0D22">
        <w:trPr>
          <w:trHeight w:val="22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C4D11" w14:textId="77777777" w:rsidR="001B4284" w:rsidRPr="007466EF" w:rsidRDefault="001B4284" w:rsidP="001B4284">
            <w:pPr>
              <w:jc w:val="right"/>
              <w:rPr>
                <w:sz w:val="20"/>
                <w:szCs w:val="20"/>
              </w:rPr>
            </w:pPr>
            <w:r w:rsidRPr="007466EF">
              <w:rPr>
                <w:sz w:val="20"/>
                <w:szCs w:val="20"/>
              </w:rPr>
              <w:t>1111</w:t>
            </w:r>
          </w:p>
        </w:tc>
        <w:tc>
          <w:tcPr>
            <w:tcW w:w="4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57A96" w14:textId="77777777" w:rsidR="001B4284" w:rsidRPr="007466EF" w:rsidRDefault="001B4284" w:rsidP="001B4284">
            <w:pPr>
              <w:rPr>
                <w:sz w:val="20"/>
                <w:szCs w:val="20"/>
              </w:rPr>
            </w:pPr>
            <w:r w:rsidRPr="007466EF">
              <w:rPr>
                <w:sz w:val="20"/>
                <w:szCs w:val="20"/>
              </w:rPr>
              <w:t xml:space="preserve">Novac na žiro računu kod Hrvatske narodne banke </w:t>
            </w:r>
          </w:p>
        </w:tc>
        <w:tc>
          <w:tcPr>
            <w:tcW w:w="1666" w:type="dxa"/>
            <w:tcBorders>
              <w:top w:val="single" w:sz="4" w:space="0" w:color="auto"/>
              <w:left w:val="single" w:sz="4" w:space="0" w:color="auto"/>
              <w:bottom w:val="single" w:sz="4" w:space="0" w:color="auto"/>
              <w:right w:val="single" w:sz="4" w:space="0" w:color="auto"/>
            </w:tcBorders>
            <w:vAlign w:val="center"/>
          </w:tcPr>
          <w:p w14:paraId="65FCBE88" w14:textId="77777777" w:rsidR="001B4284" w:rsidRPr="007466EF" w:rsidRDefault="001B4284" w:rsidP="001B4284">
            <w:pPr>
              <w:jc w:val="right"/>
              <w:rPr>
                <w:sz w:val="20"/>
              </w:rPr>
            </w:pPr>
            <w:r w:rsidRPr="007466EF">
              <w:rPr>
                <w:sz w:val="20"/>
              </w:rPr>
              <w:t>1.902.328.496,35</w:t>
            </w:r>
          </w:p>
        </w:tc>
      </w:tr>
      <w:tr w:rsidR="001B4284" w:rsidRPr="007466EF" w14:paraId="4E34C8A0" w14:textId="77777777" w:rsidTr="000F0D22">
        <w:trPr>
          <w:trHeight w:val="22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2814C" w14:textId="77777777" w:rsidR="001B4284" w:rsidRPr="007466EF" w:rsidRDefault="001B4284" w:rsidP="001B4284">
            <w:pPr>
              <w:jc w:val="right"/>
              <w:rPr>
                <w:sz w:val="20"/>
                <w:szCs w:val="20"/>
              </w:rPr>
            </w:pPr>
            <w:r w:rsidRPr="007466EF">
              <w:rPr>
                <w:sz w:val="20"/>
                <w:szCs w:val="20"/>
              </w:rPr>
              <w:t>1112</w:t>
            </w:r>
          </w:p>
        </w:tc>
        <w:tc>
          <w:tcPr>
            <w:tcW w:w="4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714C0" w14:textId="77777777" w:rsidR="001B4284" w:rsidRPr="007466EF" w:rsidRDefault="001B4284" w:rsidP="001B4284">
            <w:pPr>
              <w:rPr>
                <w:sz w:val="20"/>
                <w:szCs w:val="20"/>
              </w:rPr>
            </w:pPr>
            <w:r w:rsidRPr="007466EF">
              <w:rPr>
                <w:sz w:val="20"/>
                <w:szCs w:val="20"/>
              </w:rPr>
              <w:t>Novac na žiro računu kod tuzemnih poslovnih banaka</w:t>
            </w:r>
          </w:p>
        </w:tc>
        <w:tc>
          <w:tcPr>
            <w:tcW w:w="1666" w:type="dxa"/>
            <w:tcBorders>
              <w:top w:val="single" w:sz="4" w:space="0" w:color="auto"/>
              <w:left w:val="single" w:sz="4" w:space="0" w:color="auto"/>
              <w:bottom w:val="single" w:sz="4" w:space="0" w:color="auto"/>
              <w:right w:val="single" w:sz="4" w:space="0" w:color="auto"/>
            </w:tcBorders>
            <w:vAlign w:val="center"/>
          </w:tcPr>
          <w:p w14:paraId="54940947" w14:textId="77777777" w:rsidR="001B4284" w:rsidRPr="007466EF" w:rsidRDefault="001B4284" w:rsidP="001B4284">
            <w:pPr>
              <w:jc w:val="right"/>
              <w:rPr>
                <w:sz w:val="20"/>
              </w:rPr>
            </w:pPr>
            <w:r w:rsidRPr="007466EF">
              <w:rPr>
                <w:sz w:val="20"/>
              </w:rPr>
              <w:t>394.917.894,51</w:t>
            </w:r>
          </w:p>
        </w:tc>
      </w:tr>
      <w:tr w:rsidR="001B4284" w:rsidRPr="007466EF" w14:paraId="1B39B07A" w14:textId="77777777" w:rsidTr="000F0D22">
        <w:trPr>
          <w:trHeight w:val="22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1882D" w14:textId="77777777" w:rsidR="001B4284" w:rsidRPr="007466EF" w:rsidRDefault="001B4284" w:rsidP="001B4284">
            <w:pPr>
              <w:jc w:val="right"/>
              <w:rPr>
                <w:sz w:val="20"/>
                <w:szCs w:val="20"/>
              </w:rPr>
            </w:pPr>
            <w:r w:rsidRPr="007466EF">
              <w:rPr>
                <w:sz w:val="20"/>
                <w:szCs w:val="20"/>
              </w:rPr>
              <w:t>1113</w:t>
            </w:r>
          </w:p>
        </w:tc>
        <w:tc>
          <w:tcPr>
            <w:tcW w:w="4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20F53" w14:textId="77777777" w:rsidR="001B4284" w:rsidRPr="007466EF" w:rsidRDefault="001B4284" w:rsidP="001B4284">
            <w:pPr>
              <w:rPr>
                <w:sz w:val="20"/>
                <w:szCs w:val="20"/>
              </w:rPr>
            </w:pPr>
            <w:r w:rsidRPr="007466EF">
              <w:rPr>
                <w:sz w:val="20"/>
                <w:szCs w:val="20"/>
              </w:rPr>
              <w:t>Novac na računu kod inozemnih poslovnih banaka</w:t>
            </w:r>
          </w:p>
        </w:tc>
        <w:tc>
          <w:tcPr>
            <w:tcW w:w="1666" w:type="dxa"/>
            <w:tcBorders>
              <w:top w:val="single" w:sz="4" w:space="0" w:color="auto"/>
              <w:left w:val="single" w:sz="4" w:space="0" w:color="auto"/>
              <w:bottom w:val="single" w:sz="4" w:space="0" w:color="auto"/>
              <w:right w:val="single" w:sz="4" w:space="0" w:color="auto"/>
            </w:tcBorders>
            <w:vAlign w:val="center"/>
          </w:tcPr>
          <w:p w14:paraId="20A2A8FD" w14:textId="77777777" w:rsidR="001B4284" w:rsidRPr="007466EF" w:rsidRDefault="001B4284" w:rsidP="001B4284">
            <w:pPr>
              <w:jc w:val="right"/>
              <w:rPr>
                <w:sz w:val="20"/>
              </w:rPr>
            </w:pPr>
            <w:r w:rsidRPr="007466EF">
              <w:rPr>
                <w:sz w:val="20"/>
              </w:rPr>
              <w:t>67,31</w:t>
            </w:r>
          </w:p>
        </w:tc>
      </w:tr>
      <w:tr w:rsidR="001B4284" w:rsidRPr="007466EF" w14:paraId="06CBAC23" w14:textId="77777777" w:rsidTr="000F0D22">
        <w:trPr>
          <w:trHeight w:val="22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40580" w14:textId="77777777" w:rsidR="001B4284" w:rsidRPr="007466EF" w:rsidRDefault="001B4284" w:rsidP="001B4284">
            <w:pPr>
              <w:jc w:val="right"/>
              <w:rPr>
                <w:sz w:val="20"/>
                <w:szCs w:val="20"/>
              </w:rPr>
            </w:pPr>
            <w:r w:rsidRPr="007466EF">
              <w:rPr>
                <w:sz w:val="20"/>
                <w:szCs w:val="20"/>
              </w:rPr>
              <w:t>112</w:t>
            </w:r>
          </w:p>
        </w:tc>
        <w:tc>
          <w:tcPr>
            <w:tcW w:w="4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3B66C" w14:textId="77777777" w:rsidR="001B4284" w:rsidRPr="007466EF" w:rsidRDefault="001B4284" w:rsidP="001B4284">
            <w:pPr>
              <w:rPr>
                <w:sz w:val="20"/>
                <w:szCs w:val="20"/>
              </w:rPr>
            </w:pPr>
            <w:r w:rsidRPr="007466EF">
              <w:rPr>
                <w:sz w:val="20"/>
                <w:szCs w:val="20"/>
              </w:rPr>
              <w:t>Izdvojena novčana sredstva</w:t>
            </w:r>
          </w:p>
        </w:tc>
        <w:tc>
          <w:tcPr>
            <w:tcW w:w="1666" w:type="dxa"/>
            <w:tcBorders>
              <w:top w:val="single" w:sz="4" w:space="0" w:color="auto"/>
              <w:left w:val="single" w:sz="4" w:space="0" w:color="auto"/>
              <w:bottom w:val="single" w:sz="4" w:space="0" w:color="auto"/>
              <w:right w:val="single" w:sz="4" w:space="0" w:color="auto"/>
            </w:tcBorders>
            <w:vAlign w:val="center"/>
          </w:tcPr>
          <w:p w14:paraId="443A2C8B" w14:textId="77777777" w:rsidR="001B4284" w:rsidRPr="007466EF" w:rsidRDefault="001B4284" w:rsidP="001B4284">
            <w:pPr>
              <w:jc w:val="right"/>
              <w:rPr>
                <w:sz w:val="20"/>
              </w:rPr>
            </w:pPr>
            <w:r w:rsidRPr="007466EF">
              <w:rPr>
                <w:sz w:val="20"/>
              </w:rPr>
              <w:t>38.551.346,36</w:t>
            </w:r>
          </w:p>
        </w:tc>
      </w:tr>
      <w:tr w:rsidR="001B4284" w:rsidRPr="007466EF" w14:paraId="42F729C4" w14:textId="77777777" w:rsidTr="000F0D22">
        <w:trPr>
          <w:trHeight w:val="22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773CF" w14:textId="77777777" w:rsidR="001B4284" w:rsidRPr="007466EF" w:rsidRDefault="001B4284" w:rsidP="001B4284">
            <w:pPr>
              <w:jc w:val="right"/>
              <w:rPr>
                <w:sz w:val="20"/>
                <w:szCs w:val="20"/>
              </w:rPr>
            </w:pPr>
            <w:r w:rsidRPr="007466EF">
              <w:rPr>
                <w:sz w:val="20"/>
                <w:szCs w:val="20"/>
              </w:rPr>
              <w:t>113</w:t>
            </w:r>
          </w:p>
        </w:tc>
        <w:tc>
          <w:tcPr>
            <w:tcW w:w="4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2B5C6" w14:textId="77777777" w:rsidR="001B4284" w:rsidRPr="007466EF" w:rsidRDefault="001B4284" w:rsidP="001B4284">
            <w:pPr>
              <w:rPr>
                <w:sz w:val="20"/>
                <w:szCs w:val="20"/>
              </w:rPr>
            </w:pPr>
            <w:r w:rsidRPr="007466EF">
              <w:rPr>
                <w:sz w:val="20"/>
                <w:szCs w:val="20"/>
              </w:rPr>
              <w:t>Novac u blagajni</w:t>
            </w:r>
          </w:p>
        </w:tc>
        <w:tc>
          <w:tcPr>
            <w:tcW w:w="1666" w:type="dxa"/>
            <w:tcBorders>
              <w:top w:val="single" w:sz="4" w:space="0" w:color="auto"/>
              <w:left w:val="single" w:sz="4" w:space="0" w:color="auto"/>
              <w:bottom w:val="single" w:sz="4" w:space="0" w:color="auto"/>
              <w:right w:val="single" w:sz="4" w:space="0" w:color="auto"/>
            </w:tcBorders>
            <w:vAlign w:val="center"/>
          </w:tcPr>
          <w:p w14:paraId="51444425" w14:textId="77777777" w:rsidR="001B4284" w:rsidRPr="007466EF" w:rsidRDefault="001B4284" w:rsidP="001B4284">
            <w:pPr>
              <w:jc w:val="right"/>
              <w:rPr>
                <w:sz w:val="20"/>
              </w:rPr>
            </w:pPr>
            <w:r w:rsidRPr="007466EF">
              <w:rPr>
                <w:sz w:val="20"/>
              </w:rPr>
              <w:t>0,00</w:t>
            </w:r>
          </w:p>
        </w:tc>
      </w:tr>
    </w:tbl>
    <w:p w14:paraId="1F0A1461" w14:textId="77777777" w:rsidR="001B4284" w:rsidRPr="007466EF" w:rsidRDefault="001B4284" w:rsidP="001B4284">
      <w:pPr>
        <w:jc w:val="both"/>
        <w:rPr>
          <w:color w:val="000000"/>
        </w:rPr>
      </w:pPr>
    </w:p>
    <w:p w14:paraId="60BC8E59" w14:textId="77777777" w:rsidR="001B4284" w:rsidRPr="007466EF" w:rsidRDefault="001B4284" w:rsidP="001B4284">
      <w:pPr>
        <w:jc w:val="center"/>
        <w:rPr>
          <w:sz w:val="28"/>
        </w:rPr>
      </w:pPr>
      <w:r w:rsidRPr="007466EF">
        <w:rPr>
          <w:sz w:val="28"/>
        </w:rPr>
        <w:t>Bilješka 3.</w:t>
      </w:r>
    </w:p>
    <w:p w14:paraId="3CADE69E" w14:textId="77777777" w:rsidR="001B4284" w:rsidRPr="007466EF" w:rsidRDefault="001B4284" w:rsidP="001B4284">
      <w:pPr>
        <w:keepNext/>
        <w:jc w:val="center"/>
        <w:rPr>
          <w:sz w:val="28"/>
        </w:rPr>
      </w:pPr>
      <w:r w:rsidRPr="007466EF">
        <w:rPr>
          <w:bCs/>
          <w:sz w:val="28"/>
        </w:rPr>
        <w:t xml:space="preserve">Šifra 121 </w:t>
      </w:r>
      <w:r w:rsidRPr="007466EF">
        <w:rPr>
          <w:sz w:val="28"/>
        </w:rPr>
        <w:t>Depoziti u kreditnim i ostalim financijskim institucijama</w:t>
      </w:r>
    </w:p>
    <w:p w14:paraId="7674FFA8" w14:textId="77777777" w:rsidR="001B4284" w:rsidRPr="007466EF" w:rsidRDefault="001B4284" w:rsidP="001B4284">
      <w:pPr>
        <w:keepNext/>
        <w:jc w:val="both"/>
      </w:pPr>
      <w:r w:rsidRPr="007466EF">
        <w:t xml:space="preserve">Stanje potraživanja za depozite u kreditnim i ostalim financijskim institucijama na dan 31. prosinca 2024. bilježi stopostotno povećanje u odnosu na stanje na dan 1. siječnja 2024. Naime, temeljem Sporazuma o delegiranim poslovima u svrhu uspostave instrumenata za ulaganja u vlasničke i </w:t>
      </w:r>
      <w:proofErr w:type="spellStart"/>
      <w:r w:rsidRPr="007466EF">
        <w:t>kvazivlasničko</w:t>
      </w:r>
      <w:proofErr w:type="spellEnd"/>
      <w:r w:rsidRPr="007466EF">
        <w:t xml:space="preserve"> financiranje, a kojeg je 30. prosinca 2022. sklopilo Ministarstvo financija, Ministarstvo gospodarstva i održivog razvoje te Hrvatska banka za obnovu i razvitak (HBOR), HBOR-u su doznačena sredstva u iznosu od 4 milijuna eura. Temeljem Sporazuma HBOR u svoje ime, a za račun Republike Hrvatske provodi ulaganje u alternativne investicijske fondove, tj. fondove rizičnog kapitala. Uplaćena sredstva u iznosu od 4 milijuna eura koriste se za ulaganje u alternativni investicijski fond </w:t>
      </w:r>
      <w:proofErr w:type="spellStart"/>
      <w:r w:rsidRPr="007466EF">
        <w:t>Hybrid</w:t>
      </w:r>
      <w:proofErr w:type="spellEnd"/>
      <w:r w:rsidRPr="007466EF">
        <w:t xml:space="preserve"> Capital </w:t>
      </w:r>
      <w:proofErr w:type="spellStart"/>
      <w:r w:rsidRPr="007466EF">
        <w:t>Partners</w:t>
      </w:r>
      <w:proofErr w:type="spellEnd"/>
      <w:r w:rsidRPr="007466EF">
        <w:t xml:space="preserve"> – HCP registriran u Luksemburgu.</w:t>
      </w:r>
    </w:p>
    <w:p w14:paraId="0180BC15" w14:textId="77777777" w:rsidR="001B4284" w:rsidRPr="007466EF" w:rsidRDefault="001B4284" w:rsidP="007466EF">
      <w:pPr>
        <w:jc w:val="both"/>
        <w:rPr>
          <w:color w:val="000000"/>
        </w:rPr>
      </w:pPr>
    </w:p>
    <w:p w14:paraId="108365C7" w14:textId="77777777" w:rsidR="007466EF" w:rsidRPr="007466EF" w:rsidRDefault="007466EF" w:rsidP="007466EF">
      <w:pPr>
        <w:jc w:val="both"/>
        <w:rPr>
          <w:color w:val="000000"/>
        </w:rPr>
      </w:pPr>
    </w:p>
    <w:p w14:paraId="03930AB3" w14:textId="77777777" w:rsidR="007466EF" w:rsidRPr="007466EF" w:rsidRDefault="007466EF" w:rsidP="007466EF">
      <w:pPr>
        <w:jc w:val="both"/>
        <w:rPr>
          <w:color w:val="000000"/>
        </w:rPr>
      </w:pPr>
    </w:p>
    <w:p w14:paraId="42BC2268" w14:textId="1428FD88" w:rsidR="001B4284" w:rsidRPr="007466EF" w:rsidRDefault="001B4284" w:rsidP="001B4284">
      <w:pPr>
        <w:jc w:val="center"/>
        <w:rPr>
          <w:sz w:val="28"/>
        </w:rPr>
      </w:pPr>
      <w:r w:rsidRPr="007466EF">
        <w:rPr>
          <w:sz w:val="28"/>
        </w:rPr>
        <w:lastRenderedPageBreak/>
        <w:t>Bilješka 4.</w:t>
      </w:r>
    </w:p>
    <w:p w14:paraId="4680D323" w14:textId="77777777" w:rsidR="001B4284" w:rsidRPr="007466EF" w:rsidRDefault="001B4284" w:rsidP="001B4284">
      <w:pPr>
        <w:keepNext/>
        <w:jc w:val="center"/>
        <w:rPr>
          <w:sz w:val="28"/>
        </w:rPr>
      </w:pPr>
      <w:r w:rsidRPr="007466EF">
        <w:rPr>
          <w:bCs/>
          <w:sz w:val="28"/>
        </w:rPr>
        <w:t xml:space="preserve">Šifra 129 </w:t>
      </w:r>
      <w:r w:rsidRPr="007466EF">
        <w:rPr>
          <w:sz w:val="28"/>
        </w:rPr>
        <w:t>Ostala potraživanja</w:t>
      </w:r>
    </w:p>
    <w:p w14:paraId="5730C579" w14:textId="77777777" w:rsidR="001B4284" w:rsidRPr="007466EF" w:rsidRDefault="001B4284" w:rsidP="001B4284">
      <w:pPr>
        <w:jc w:val="both"/>
      </w:pPr>
      <w:r w:rsidRPr="007466EF">
        <w:t xml:space="preserve">Stanje ostalih potraživanja na dan 31. prosinca 2024. iskazana su u iznosu od 29.374.373,18 eura dok su na dan 1. siječnja 2024. iznosila 70.896.952,49 eura što predstavlja smanjenje od 58,6%. </w:t>
      </w:r>
    </w:p>
    <w:p w14:paraId="0514920C" w14:textId="77777777" w:rsidR="001B4284" w:rsidRPr="007466EF" w:rsidRDefault="001B4284" w:rsidP="001B4284">
      <w:pPr>
        <w:jc w:val="both"/>
      </w:pPr>
    </w:p>
    <w:p w14:paraId="013376BC" w14:textId="77777777" w:rsidR="001B4284" w:rsidRPr="007466EF" w:rsidRDefault="001B4284" w:rsidP="001B4284">
      <w:pPr>
        <w:jc w:val="both"/>
      </w:pPr>
      <w:r w:rsidRPr="007466EF">
        <w:t>U okviru ostalih potraživanja, između ostalog, evidentiraju se i potraživanja za naknadu plaće za bolovanja na teret Hrvatskog zavoda za zdravstveno osiguranje (HZZO) za zaposlenike čiji se rashodi za plaću isplaćuju na teret sredstava državnog proračuna. HZZO je u 2024. na ime refundacije naknada plaća za bolovanje u državni proračun uplatio iznos od 73.454.370,99 eura što je utjecalo na smanjenje stanja potraživanja na dan 31. prosinca u odnosu na stanje 1. siječnja 2024.</w:t>
      </w:r>
    </w:p>
    <w:p w14:paraId="2E5EA965" w14:textId="77777777" w:rsidR="001B4284" w:rsidRPr="007466EF" w:rsidRDefault="001B4284" w:rsidP="001B4284">
      <w:pPr>
        <w:jc w:val="both"/>
        <w:rPr>
          <w:color w:val="000000"/>
        </w:rPr>
      </w:pPr>
    </w:p>
    <w:p w14:paraId="009549C9" w14:textId="77777777" w:rsidR="001B4284" w:rsidRPr="007466EF" w:rsidRDefault="001B4284" w:rsidP="001B4284">
      <w:pPr>
        <w:keepNext/>
        <w:jc w:val="center"/>
        <w:rPr>
          <w:sz w:val="28"/>
        </w:rPr>
      </w:pPr>
      <w:r w:rsidRPr="007466EF">
        <w:rPr>
          <w:sz w:val="28"/>
        </w:rPr>
        <w:t>Bilješka 5.</w:t>
      </w:r>
    </w:p>
    <w:p w14:paraId="7A3C4493" w14:textId="77777777" w:rsidR="001B4284" w:rsidRPr="007466EF" w:rsidRDefault="001B4284" w:rsidP="001B4284">
      <w:pPr>
        <w:keepNext/>
        <w:jc w:val="center"/>
        <w:rPr>
          <w:bCs/>
          <w:sz w:val="28"/>
        </w:rPr>
      </w:pPr>
      <w:r w:rsidRPr="007466EF">
        <w:rPr>
          <w:bCs/>
          <w:sz w:val="28"/>
        </w:rPr>
        <w:t>Šifra 1332 Zajmovi kreditnim institucijama u javnom sektoru</w:t>
      </w:r>
    </w:p>
    <w:p w14:paraId="751FA576" w14:textId="77777777" w:rsidR="001B4284" w:rsidRPr="007466EF" w:rsidRDefault="001B4284" w:rsidP="001B4284">
      <w:pPr>
        <w:keepNext/>
        <w:spacing w:after="240"/>
        <w:jc w:val="both"/>
      </w:pPr>
      <w:r w:rsidRPr="007466EF">
        <w:rPr>
          <w:bCs/>
        </w:rPr>
        <w:t>Potraživanja za dane zajmove</w:t>
      </w:r>
      <w:r w:rsidRPr="007466EF">
        <w:t xml:space="preserve"> kreditnim institucijama u javnom sektoru na dan 31. prosinca 2024. iskazana su u iznosu od 397.722.808,42 eura i ne bilježe promjenu u odnosu na stanje na dan 1. siječnja 2024. Navedeno potraživanje odnosi se na potraživanje po danim zajmovima Hrvatskoj banci za obnovu i razvitak (HBOR) tijekom 2020., 2022. i 2023. </w:t>
      </w:r>
    </w:p>
    <w:p w14:paraId="5A1B9CC5" w14:textId="77777777" w:rsidR="001B4284" w:rsidRPr="007466EF" w:rsidRDefault="001B4284" w:rsidP="001B4284">
      <w:pPr>
        <w:spacing w:before="120" w:after="120"/>
        <w:jc w:val="both"/>
      </w:pPr>
      <w:r w:rsidRPr="007466EF">
        <w:t>Naime, Republika Hrvatska - Ministarstvo financija i HBOR zaključili su dana 26. lipnja 2020. Ugovor o zajmu broj: 1/2020 na iznos od 398.168.425,24 eura s rokovima isplate do 1. srpnja 2020. u iznosu od 199.084.212,62 eura i do 15. prosinca 2020. u iznosu od 199.084.212,62 eura s rokom otplate 15. prosinca 2023. Ovaj Ugovor je realiziran samo djelomično i to na način da je 1. srpnja 2020. realizirana prva isplata zajma u iznosu od 199.084.212,62 eura</w:t>
      </w:r>
      <w:r w:rsidRPr="007466EF">
        <w:rPr>
          <w:bCs/>
        </w:rPr>
        <w:t>.</w:t>
      </w:r>
      <w:r w:rsidRPr="007466EF">
        <w:t xml:space="preserve"> S obzirom da HBOR tijekom 2020. nije imao potrebu za dodatnim sredstvima za osiguranje likvidnosti, dodatkom I. Ugovoru o zajmu broj 1/2020 od 4. veljače 2021. ugovoreni iznos zajma umanjen je na 199.084.212,62 eura. Na dan 31. prosinca 2023. HBOR je vratio predmetni zajam.</w:t>
      </w:r>
    </w:p>
    <w:p w14:paraId="705A29F9" w14:textId="77777777" w:rsidR="001B4284" w:rsidRPr="007466EF" w:rsidRDefault="001B4284" w:rsidP="001B4284">
      <w:pPr>
        <w:spacing w:before="120" w:after="120"/>
        <w:jc w:val="both"/>
      </w:pPr>
      <w:r w:rsidRPr="007466EF">
        <w:t>Nadalje, Republika Hrvatska - Ministarstvo financija i HBOR zaključili su dana 14. listopada 2022. Ugovor o zajmu broj: 1/2022 na iznos od 132.722.808,51 eura s datumom isplate 30. studenog 2022. Sredstva zajma HBOR je koristio za osiguranje likvidnosti i provođenje kreditne aktivnosti. Na isplaćeni iznos zajma obračunata je kamata po fiksnoj stopi od 0,45% godišnje, a  HBOR je iznos zajma jednokratno vratio u 2024.</w:t>
      </w:r>
    </w:p>
    <w:p w14:paraId="4E0931B0" w14:textId="77777777" w:rsidR="001B4284" w:rsidRPr="007466EF" w:rsidRDefault="001B4284" w:rsidP="007466EF">
      <w:pPr>
        <w:spacing w:before="120"/>
        <w:jc w:val="both"/>
      </w:pPr>
      <w:r w:rsidRPr="007466EF">
        <w:t>Dodatno, Republika Hrvatska - Ministarstvo financija i HBOR zaključili su dana 15. prosinca 2023. Ugovor o zajmu broj: 1/2023 na iznos od 265.000.000,00 eura s datumom isplate 15. prosinca 2023. Sredstva zajma HBOR koristi za osiguranje likvidnosti i provođenje kreditne aktivnosti. Na isplaćeni iznos zajma obračunava se kamata po fiksnoj stopi od 3,75% godišnje, a HBOR otplaćuje isplaćeni iznos u jednokratnim tromjesečnim ratama, od kojih prva tromjesečna rata dospijeva 15. travnja 2025., a zadnja tromjesečna rata dospijeva 15. siječnja 2034.</w:t>
      </w:r>
    </w:p>
    <w:p w14:paraId="51C40D12" w14:textId="77777777" w:rsidR="001B4284" w:rsidRPr="007466EF" w:rsidRDefault="001B4284" w:rsidP="007466EF">
      <w:pPr>
        <w:jc w:val="both"/>
        <w:rPr>
          <w:color w:val="000000"/>
        </w:rPr>
      </w:pPr>
    </w:p>
    <w:p w14:paraId="69364719" w14:textId="77777777" w:rsidR="001B4284" w:rsidRPr="007466EF" w:rsidRDefault="001B4284" w:rsidP="001B4284">
      <w:pPr>
        <w:jc w:val="center"/>
        <w:rPr>
          <w:sz w:val="28"/>
        </w:rPr>
      </w:pPr>
      <w:r w:rsidRPr="007466EF">
        <w:rPr>
          <w:sz w:val="28"/>
        </w:rPr>
        <w:t>Bilješka 6.</w:t>
      </w:r>
    </w:p>
    <w:p w14:paraId="625288EF" w14:textId="77777777" w:rsidR="001B4284" w:rsidRPr="007466EF" w:rsidRDefault="001B4284" w:rsidP="001B4284">
      <w:pPr>
        <w:widowControl w:val="0"/>
        <w:jc w:val="center"/>
        <w:rPr>
          <w:sz w:val="28"/>
        </w:rPr>
      </w:pPr>
      <w:r w:rsidRPr="007466EF">
        <w:rPr>
          <w:sz w:val="28"/>
        </w:rPr>
        <w:t>Šifra 1341 Zajmovi trgovačkim društvima u javnom sektoru</w:t>
      </w:r>
    </w:p>
    <w:p w14:paraId="135C2686" w14:textId="77777777" w:rsidR="001B4284" w:rsidRPr="007466EF" w:rsidRDefault="001B4284" w:rsidP="001B4284">
      <w:pPr>
        <w:widowControl w:val="0"/>
        <w:jc w:val="both"/>
      </w:pPr>
      <w:r w:rsidRPr="007466EF">
        <w:t xml:space="preserve">Potraživanja za zajmove dane trgovačkim društvima u javnom sektoru iskazana su na dan 31. prosinca 2024. u iznosu od 6.713.756,93 eura i bilježe smanjenje od 83,3% u odnosu na stanje na dan 1. siječnja 2024. kada su bila iskazana u iznosu od 40.100.988,87 eura. Stanje potraživanja za zajmove dane trgovačkim društvima u javnom sektoru na dan 31. prosinca 2024. u iznosu od 6.713.756,93 eura odnosi se na potraživanja za dugoročne zajmove dane </w:t>
      </w:r>
      <w:proofErr w:type="spellStart"/>
      <w:r w:rsidRPr="007466EF">
        <w:t>Ekoplusu</w:t>
      </w:r>
      <w:proofErr w:type="spellEnd"/>
      <w:r w:rsidRPr="007466EF">
        <w:t xml:space="preserve"> d.o.o. u iznosu od 2.504.575,62 eura i Nacionalnoj veletržnici u iznosu od </w:t>
      </w:r>
      <w:r w:rsidRPr="007466EF">
        <w:lastRenderedPageBreak/>
        <w:t>3.208.758,50 eura.</w:t>
      </w:r>
    </w:p>
    <w:p w14:paraId="513E9328" w14:textId="77777777" w:rsidR="001B4284" w:rsidRPr="007466EF" w:rsidRDefault="001B4284" w:rsidP="001B4284">
      <w:pPr>
        <w:widowControl w:val="0"/>
        <w:jc w:val="both"/>
      </w:pPr>
    </w:p>
    <w:p w14:paraId="68A05360" w14:textId="77777777" w:rsidR="001B4284" w:rsidRPr="007466EF" w:rsidRDefault="001B4284" w:rsidP="001B4284">
      <w:pPr>
        <w:widowControl w:val="0"/>
        <w:jc w:val="both"/>
      </w:pPr>
      <w:r w:rsidRPr="007466EF">
        <w:t>Smanjenje stanja potraživanja za zajmove dane trgovačkim društvima u javnom sektoru u iznosu od 33.180.702,10 eura</w:t>
      </w:r>
      <w:r w:rsidRPr="007466EF">
        <w:rPr>
          <w:color w:val="000000"/>
        </w:rPr>
        <w:t xml:space="preserve"> u promatranom razdoblju odnosi se</w:t>
      </w:r>
      <w:r w:rsidRPr="007466EF">
        <w:t xml:space="preserve"> na prijenos potraživanja od društva </w:t>
      </w:r>
      <w:r w:rsidRPr="007466EF">
        <w:rPr>
          <w:color w:val="000000"/>
        </w:rPr>
        <w:t xml:space="preserve">Croatia Airlines d.d. iz poslovnih knjiga </w:t>
      </w:r>
      <w:r w:rsidRPr="007466EF">
        <w:t xml:space="preserve">Ministarstva financija u poslovne knjige </w:t>
      </w:r>
      <w:r w:rsidRPr="007466EF">
        <w:rPr>
          <w:color w:val="000000"/>
        </w:rPr>
        <w:t>Ministarstva mora, prometa i infrastrukture.</w:t>
      </w:r>
    </w:p>
    <w:p w14:paraId="69AB6EA7" w14:textId="77777777" w:rsidR="001B4284" w:rsidRPr="007466EF" w:rsidRDefault="001B4284" w:rsidP="001B4284">
      <w:pPr>
        <w:shd w:val="clear" w:color="auto" w:fill="FFFFFF"/>
        <w:jc w:val="both"/>
        <w:rPr>
          <w:color w:val="000000"/>
        </w:rPr>
      </w:pPr>
      <w:r w:rsidRPr="007466EF">
        <w:rPr>
          <w:color w:val="000000"/>
        </w:rPr>
        <w:t xml:space="preserve">Naime, odlukom Vlade Republike Hrvatske o odobrenju državne potpore društvu Croatia Airlines d.d. sukladno privremenom okviru Europske komisije kojim se državama članicama omogućuje dodatna pomoć gospodarstvu zbog </w:t>
      </w:r>
      <w:proofErr w:type="spellStart"/>
      <w:r w:rsidRPr="007466EF">
        <w:rPr>
          <w:color w:val="000000"/>
        </w:rPr>
        <w:t>pandemije</w:t>
      </w:r>
      <w:proofErr w:type="spellEnd"/>
      <w:r w:rsidRPr="007466EF">
        <w:rPr>
          <w:color w:val="000000"/>
        </w:rPr>
        <w:t xml:space="preserve"> COVID-19 (u daljnjem tekstu: Odluka) od 14. prosinca 2020. dana je  suglasnost za uplatu u korist društva Croatia Airlines d.d. iznosa od 250.000.000 kuna (33.180.702,10 eura) za osiguranje nužne financijske stabilizacije i likvidnosti Društva uslijed krize uzrokovane </w:t>
      </w:r>
      <w:proofErr w:type="spellStart"/>
      <w:r w:rsidRPr="007466EF">
        <w:rPr>
          <w:color w:val="000000"/>
        </w:rPr>
        <w:t>pandemijom</w:t>
      </w:r>
      <w:proofErr w:type="spellEnd"/>
      <w:r w:rsidRPr="007466EF">
        <w:rPr>
          <w:color w:val="000000"/>
        </w:rPr>
        <w:t xml:space="preserve"> COVID-19 bolesti. Sredstva iz Odluke tretiraju se kao zajam dioničara. Ministar mora, prometa i infrastrukture bio je ovlašten za sklapanje ugovora s društvom Croatia Airlines d.d. Ugovor o zajmu sklopljen je 15. prosinca 2020., a sredstva su isplaćena 23. prosinca 2020. s glave 02506 Ministarstvo financija - ostali izdaci države, aktivnosti A818067 Zajmovi institucijama, konto 51412 </w:t>
      </w:r>
      <w:r w:rsidRPr="007466EF">
        <w:rPr>
          <w:i/>
          <w:iCs/>
          <w:color w:val="000000"/>
        </w:rPr>
        <w:t>Dani zajmovi trgovačkim društvima u javnom sektoru – dugoročni</w:t>
      </w:r>
      <w:r w:rsidRPr="007466EF">
        <w:rPr>
          <w:color w:val="000000"/>
        </w:rPr>
        <w:t> s obzirom da su sredstva zajma, u trenutku kada se isplata izvršila, bila raspoloživa na navedenoj poziciji u Državnom proračunu Republike Hrvatske za 2020.</w:t>
      </w:r>
    </w:p>
    <w:p w14:paraId="70C0E245" w14:textId="77777777" w:rsidR="001B4284" w:rsidRPr="007466EF" w:rsidRDefault="001B4284" w:rsidP="001B4284">
      <w:pPr>
        <w:shd w:val="clear" w:color="auto" w:fill="FFFFFF"/>
        <w:jc w:val="both"/>
        <w:rPr>
          <w:color w:val="000000"/>
        </w:rPr>
      </w:pPr>
      <w:r w:rsidRPr="007466EF">
        <w:rPr>
          <w:color w:val="000000"/>
        </w:rPr>
        <w:t> </w:t>
      </w:r>
    </w:p>
    <w:p w14:paraId="32B55698" w14:textId="77777777" w:rsidR="001B4284" w:rsidRPr="007466EF" w:rsidRDefault="001B4284" w:rsidP="001B4284">
      <w:pPr>
        <w:shd w:val="clear" w:color="auto" w:fill="FFFFFF"/>
        <w:jc w:val="both"/>
        <w:rPr>
          <w:color w:val="000000"/>
        </w:rPr>
      </w:pPr>
      <w:r w:rsidRPr="007466EF">
        <w:rPr>
          <w:color w:val="000000"/>
        </w:rPr>
        <w:t>Ministarstvo financija, temeljem isplaćenih sredstava, u svojim poslovnim knjigama je evidentiralo potraživanje za zajam od društva Croatia Airlines d.d. i potraživanja za kamate na dani zajam.</w:t>
      </w:r>
    </w:p>
    <w:p w14:paraId="71C7E3DA" w14:textId="77777777" w:rsidR="001B4284" w:rsidRPr="007466EF" w:rsidRDefault="001B4284" w:rsidP="001B4284">
      <w:pPr>
        <w:shd w:val="clear" w:color="auto" w:fill="FFFFFF"/>
        <w:jc w:val="both"/>
        <w:rPr>
          <w:color w:val="000000"/>
        </w:rPr>
      </w:pPr>
    </w:p>
    <w:p w14:paraId="1C7D0BD9" w14:textId="77777777" w:rsidR="001B4284" w:rsidRPr="007466EF" w:rsidRDefault="001B4284" w:rsidP="001B4284">
      <w:pPr>
        <w:shd w:val="clear" w:color="auto" w:fill="FFFFFF"/>
        <w:jc w:val="both"/>
        <w:rPr>
          <w:color w:val="000000"/>
        </w:rPr>
      </w:pPr>
      <w:r w:rsidRPr="007466EF">
        <w:rPr>
          <w:color w:val="000000"/>
        </w:rPr>
        <w:t>Ugovorom o zajmu sklopljenim između Ministarstva mora, prometa i infrastrukture i društva Croatia Airlines d.d. uređeni su uvjeti korištenja zajma koji, između ostalog, obuhvaćaju članke kojima su utvrđeni dospijeće i otplata zajma, redovne i zatezne kamate te instrumenti osiguranja naplate. Za zajam društvu Croatia Airlines d.d. ugovoren je obračun redovne kamate po kamatnoj stopi određenoj u visini 0,22% godišnje, uvećanoj za 0,5% za prvu godinu, 1% za drugu i treću godinu i 2% za četvrtu i petu godinu. Kamatno razdoblje je kalendarski kvartal, a Ministarstvo mora, prometa i infrastrukture dostavlja obračun kamate 10 radnih dana od isteka kamatnog razdoblja tijekom cijelog trajanja zajma. Za sve dospjele neplaćene iznose koje društvo Croatia Airlines d.d. duguje temeljem Ugovora o zajmu, Ministarstvo mora, prometa i infrastrukture poduzima sve potrebne pravne radnje vezano za naplatu svojih tražbina. Na sve dospjele neplaćene iznose koje društvo Croatia Airlines d.d. duguje obračunava se i naplaćuje zakonska zatezna kamata. Također, ugovoreno je da je društvo Croatia Airlines d.d. obvezno dostaviti Ministarstvu mora, prometa i infrastrukture instrumente osiguranja povrata zajma i svih ostalih tražbina iz Ugovora koji sadržavaju mjenice i zadužnice te založno pravo na nekretninama i pokretninama koje se upisuje u korist Ministarstva mora, prometa i infrastrukture.</w:t>
      </w:r>
    </w:p>
    <w:p w14:paraId="043C3BCF" w14:textId="77777777" w:rsidR="001B4284" w:rsidRPr="007466EF" w:rsidRDefault="001B4284" w:rsidP="001B4284">
      <w:pPr>
        <w:shd w:val="clear" w:color="auto" w:fill="FFFFFF"/>
        <w:jc w:val="both"/>
        <w:rPr>
          <w:color w:val="000000"/>
        </w:rPr>
      </w:pPr>
      <w:r w:rsidRPr="007466EF">
        <w:rPr>
          <w:color w:val="FF0000"/>
        </w:rPr>
        <w:t> </w:t>
      </w:r>
    </w:p>
    <w:p w14:paraId="15CF1B9D" w14:textId="77777777" w:rsidR="001B4284" w:rsidRPr="007466EF" w:rsidRDefault="001B4284" w:rsidP="001B4284">
      <w:pPr>
        <w:shd w:val="clear" w:color="auto" w:fill="FFFFFF"/>
        <w:jc w:val="both"/>
        <w:rPr>
          <w:color w:val="000000"/>
        </w:rPr>
      </w:pPr>
      <w:r w:rsidRPr="007466EF">
        <w:rPr>
          <w:color w:val="000000"/>
        </w:rPr>
        <w:t>S obzirom na obveze i odgovornosti koje proizlaze iz Ugovora o zajmu, a u svrhu njegovog financijskog praćenja, Ministarstvo mora prometa i infrastrukture u svojim poslovnim knjigama treba imati evidentirana potraživanja s osnove danog zajma i kamata prema društvu Croatia Airlines d.d.</w:t>
      </w:r>
    </w:p>
    <w:p w14:paraId="45631E57" w14:textId="77777777" w:rsidR="001B4284" w:rsidRPr="007466EF" w:rsidRDefault="001B4284" w:rsidP="001B4284">
      <w:pPr>
        <w:shd w:val="clear" w:color="auto" w:fill="FFFFFF"/>
        <w:jc w:val="both"/>
        <w:rPr>
          <w:color w:val="000000"/>
        </w:rPr>
      </w:pPr>
      <w:r w:rsidRPr="007466EF">
        <w:rPr>
          <w:color w:val="000000"/>
        </w:rPr>
        <w:t> </w:t>
      </w:r>
    </w:p>
    <w:p w14:paraId="068FD450" w14:textId="77777777" w:rsidR="001B4284" w:rsidRPr="007466EF" w:rsidRDefault="001B4284" w:rsidP="001B4284">
      <w:pPr>
        <w:shd w:val="clear" w:color="auto" w:fill="FFFFFF"/>
        <w:jc w:val="both"/>
        <w:rPr>
          <w:color w:val="000000"/>
        </w:rPr>
      </w:pPr>
      <w:r w:rsidRPr="007466EF">
        <w:rPr>
          <w:color w:val="000000"/>
        </w:rPr>
        <w:t xml:space="preserve">Slijedom navedenoga, Ministarstvo financija izvršilo je prijenos potraživanja za glavnicu zajma u iznosu od 33.180.702,10 eura te potraživanje za kamatu na dani zajam u iznosu od 1.675.156,61 eura s danom 31. listopada 2024.  iz Glavne knjige glave 06 Ministarstva financija, u Glavnu knjigu Ministarstva mora, prometa i infrastrukture, a kako bi nadležno </w:t>
      </w:r>
      <w:r w:rsidRPr="007466EF">
        <w:rPr>
          <w:color w:val="000000"/>
        </w:rPr>
        <w:lastRenderedPageBreak/>
        <w:t>Ministarstvo moglo izvršavati obveze koje proizlaze iz Ugovora o zajmu s društvom Croatia Airlines d.d. te kako bi moglo voditi potrebne knjigovodstvene evidencije u svojim poslovnim knjigama.</w:t>
      </w:r>
    </w:p>
    <w:p w14:paraId="56D0B955" w14:textId="77777777" w:rsidR="001B4284" w:rsidRPr="007466EF" w:rsidRDefault="001B4284" w:rsidP="007466EF">
      <w:pPr>
        <w:jc w:val="both"/>
        <w:rPr>
          <w:color w:val="000000"/>
        </w:rPr>
      </w:pPr>
    </w:p>
    <w:p w14:paraId="2062DB88" w14:textId="77777777" w:rsidR="001B4284" w:rsidRPr="007466EF" w:rsidRDefault="001B4284" w:rsidP="001B4284">
      <w:pPr>
        <w:jc w:val="center"/>
        <w:rPr>
          <w:sz w:val="28"/>
        </w:rPr>
      </w:pPr>
      <w:r w:rsidRPr="007466EF">
        <w:rPr>
          <w:sz w:val="28"/>
        </w:rPr>
        <w:t>Bilješka 7.</w:t>
      </w:r>
    </w:p>
    <w:p w14:paraId="0B8CA83B" w14:textId="77777777" w:rsidR="001B4284" w:rsidRPr="007466EF" w:rsidRDefault="001B4284" w:rsidP="001B4284">
      <w:pPr>
        <w:jc w:val="center"/>
        <w:rPr>
          <w:sz w:val="28"/>
        </w:rPr>
      </w:pPr>
      <w:r w:rsidRPr="007466EF">
        <w:rPr>
          <w:sz w:val="28"/>
        </w:rPr>
        <w:t>Šifra 1363 Zajmovi tuzemnim trgovačkim društvima izvan javnog sektora i šifra 1364 Zajmovi tuzemnim obrtnicima</w:t>
      </w:r>
    </w:p>
    <w:p w14:paraId="2E1E9F46" w14:textId="037891A5" w:rsidR="001B4284" w:rsidRPr="007466EF" w:rsidRDefault="001B4284" w:rsidP="001B4284">
      <w:pPr>
        <w:jc w:val="both"/>
      </w:pPr>
      <w:r w:rsidRPr="007466EF">
        <w:t>Potraživanja od tuzemnih trgovačkih društava izvan javnog sektora temeljem danih zajmova na dan 31. prosinca 2024</w:t>
      </w:r>
      <w:r w:rsidR="000F0D22" w:rsidRPr="007466EF">
        <w:t>.</w:t>
      </w:r>
      <w:r w:rsidRPr="007466EF">
        <w:t xml:space="preserve"> iskazana su u iznosu od </w:t>
      </w:r>
      <w:r w:rsidRPr="007466EF">
        <w:rPr>
          <w:iCs/>
        </w:rPr>
        <w:t>133.749.280,10 eura i bilježe povećanje za 19,7% u odnosnu na stanje na dan 1. siječnja 2024</w:t>
      </w:r>
      <w:r w:rsidRPr="007466EF">
        <w:t>. u odnosu na stanje na dan 1. siječnja 2024. kada su bila iskazana u iznosu od 111.692.825,45 eura.</w:t>
      </w:r>
    </w:p>
    <w:p w14:paraId="67D110FA" w14:textId="77777777" w:rsidR="001B4284" w:rsidRPr="007466EF" w:rsidRDefault="001B4284" w:rsidP="001B4284">
      <w:pPr>
        <w:jc w:val="both"/>
      </w:pPr>
    </w:p>
    <w:p w14:paraId="5A852AC6" w14:textId="77777777" w:rsidR="001B4284" w:rsidRPr="007466EF" w:rsidRDefault="001B4284" w:rsidP="001B4284">
      <w:pPr>
        <w:jc w:val="both"/>
      </w:pPr>
      <w:r w:rsidRPr="007466EF">
        <w:t xml:space="preserve">U okviru ovog potraživanja najznačajniji dio odnosi se na potraživanja po danim zajmovima bivšeg Fonda za razvoj i zapošljavanje (FRZ) tuzemnim trgovačkim društvima u iznosu od 46.576.401,06 eura, na potraživanja za zajam </w:t>
      </w:r>
      <w:proofErr w:type="spellStart"/>
      <w:r w:rsidRPr="007466EF">
        <w:t>Alpha</w:t>
      </w:r>
      <w:proofErr w:type="spellEnd"/>
      <w:r w:rsidRPr="007466EF">
        <w:t xml:space="preserve"> Adriatic </w:t>
      </w:r>
      <w:proofErr w:type="spellStart"/>
      <w:r w:rsidRPr="007466EF">
        <w:t>predstečaj</w:t>
      </w:r>
      <w:proofErr w:type="spellEnd"/>
      <w:r w:rsidRPr="007466EF">
        <w:t xml:space="preserve"> koja na dan 31. prosinca 2024. iznose 20.811.475,01 eura te na potraživanja za zajmove dane HBOR-u za financijske instrumente plasirane putem Nacionalnog plana oporavka i otpornosti. </w:t>
      </w:r>
    </w:p>
    <w:p w14:paraId="41C6D39C" w14:textId="77777777" w:rsidR="001B4284" w:rsidRPr="007466EF" w:rsidRDefault="001B4284" w:rsidP="007466EF">
      <w:pPr>
        <w:spacing w:before="120"/>
        <w:jc w:val="both"/>
        <w:rPr>
          <w:color w:val="000000"/>
        </w:rPr>
      </w:pPr>
      <w:r w:rsidRPr="007466EF">
        <w:t xml:space="preserve">Potraživanja za dane zajmove tuzemnim obrtnicima na dan 31. prosinca 2024. iskazana su u iznosu od 6.051.356,81 eura, a odnose se na potraživanja po danim zajmovima bivšeg Fonda </w:t>
      </w:r>
      <w:r w:rsidRPr="007466EF">
        <w:rPr>
          <w:color w:val="000000"/>
        </w:rPr>
        <w:t>za razvoj i zapošljavanje (FRZ).</w:t>
      </w:r>
    </w:p>
    <w:p w14:paraId="03B0CDCF" w14:textId="77777777" w:rsidR="001B4284" w:rsidRPr="007466EF" w:rsidRDefault="001B4284" w:rsidP="007466EF">
      <w:pPr>
        <w:jc w:val="both"/>
      </w:pPr>
    </w:p>
    <w:p w14:paraId="30D43247" w14:textId="77777777" w:rsidR="001B4284" w:rsidRPr="007466EF" w:rsidRDefault="001B4284" w:rsidP="001B4284">
      <w:pPr>
        <w:keepNext/>
        <w:jc w:val="center"/>
        <w:rPr>
          <w:sz w:val="28"/>
        </w:rPr>
      </w:pPr>
      <w:r w:rsidRPr="007466EF">
        <w:rPr>
          <w:sz w:val="28"/>
        </w:rPr>
        <w:t>Bilješka 8.</w:t>
      </w:r>
    </w:p>
    <w:p w14:paraId="57998A7C" w14:textId="77777777" w:rsidR="001B4284" w:rsidRPr="007466EF" w:rsidRDefault="001B4284" w:rsidP="001B4284">
      <w:pPr>
        <w:keepNext/>
        <w:jc w:val="center"/>
        <w:rPr>
          <w:sz w:val="28"/>
          <w:szCs w:val="28"/>
        </w:rPr>
      </w:pPr>
      <w:r w:rsidRPr="007466EF">
        <w:rPr>
          <w:sz w:val="28"/>
        </w:rPr>
        <w:t xml:space="preserve">Šifra 1372 </w:t>
      </w:r>
      <w:r w:rsidRPr="007466EF">
        <w:rPr>
          <w:sz w:val="28"/>
          <w:szCs w:val="28"/>
        </w:rPr>
        <w:t xml:space="preserve">Zajmovi županijskim proračunima, </w:t>
      </w:r>
      <w:r w:rsidRPr="007466EF">
        <w:rPr>
          <w:sz w:val="28"/>
        </w:rPr>
        <w:t xml:space="preserve">Šifra 1373 </w:t>
      </w:r>
      <w:r w:rsidRPr="007466EF">
        <w:rPr>
          <w:sz w:val="28"/>
          <w:szCs w:val="28"/>
        </w:rPr>
        <w:t>Zajmovi gradskim proračunima, Š</w:t>
      </w:r>
      <w:r w:rsidRPr="007466EF">
        <w:rPr>
          <w:sz w:val="28"/>
        </w:rPr>
        <w:t xml:space="preserve">ifra 1374 </w:t>
      </w:r>
      <w:r w:rsidRPr="007466EF">
        <w:rPr>
          <w:sz w:val="28"/>
          <w:szCs w:val="28"/>
        </w:rPr>
        <w:t>Zajmovi općinskim proračunima</w:t>
      </w:r>
    </w:p>
    <w:p w14:paraId="386295D5" w14:textId="3F13BBE8" w:rsidR="001B4284" w:rsidRPr="007466EF" w:rsidRDefault="001B4284" w:rsidP="001B4284">
      <w:pPr>
        <w:jc w:val="both"/>
        <w:rPr>
          <w:szCs w:val="20"/>
        </w:rPr>
      </w:pPr>
      <w:r w:rsidRPr="007466EF">
        <w:rPr>
          <w:szCs w:val="20"/>
        </w:rPr>
        <w:t>Potraživanja za zajmove dane županijskim, gradskim i općinskim proračunima (šifre 1372, 1373 i 1374) na dan 31. prosinca 2024</w:t>
      </w:r>
      <w:r w:rsidR="000F0D22" w:rsidRPr="007466EF">
        <w:rPr>
          <w:szCs w:val="20"/>
        </w:rPr>
        <w:t>.</w:t>
      </w:r>
      <w:r w:rsidRPr="007466EF">
        <w:rPr>
          <w:szCs w:val="20"/>
        </w:rPr>
        <w:t xml:space="preserve"> iskazana su u iznosu od 65.810.335,52 eura i bilježe smanjenje od 8.368.314,18 eura u odnosu na dan 1. siječnja 2024. kada su iznosila</w:t>
      </w:r>
      <w:r w:rsidRPr="007466EF">
        <w:t xml:space="preserve"> </w:t>
      </w:r>
      <w:r w:rsidRPr="007466EF">
        <w:rPr>
          <w:szCs w:val="20"/>
        </w:rPr>
        <w:t>74.178.649,70 eura.</w:t>
      </w:r>
    </w:p>
    <w:p w14:paraId="391ADD9A" w14:textId="77777777" w:rsidR="001B4284" w:rsidRPr="007466EF" w:rsidRDefault="001B4284" w:rsidP="001B4284">
      <w:pPr>
        <w:jc w:val="both"/>
        <w:rPr>
          <w:szCs w:val="20"/>
        </w:rPr>
      </w:pPr>
    </w:p>
    <w:p w14:paraId="56B432E3" w14:textId="77777777" w:rsidR="001B4284" w:rsidRPr="007466EF" w:rsidRDefault="001B4284" w:rsidP="001B4284">
      <w:pPr>
        <w:jc w:val="both"/>
        <w:rPr>
          <w:szCs w:val="20"/>
        </w:rPr>
      </w:pPr>
      <w:r w:rsidRPr="007466EF">
        <w:rPr>
          <w:szCs w:val="20"/>
        </w:rPr>
        <w:t>Navedena potraživanja čine:</w:t>
      </w:r>
    </w:p>
    <w:p w14:paraId="5A11156A" w14:textId="77777777" w:rsidR="001B4284" w:rsidRPr="007466EF" w:rsidRDefault="001B4284" w:rsidP="001B4284">
      <w:pPr>
        <w:numPr>
          <w:ilvl w:val="0"/>
          <w:numId w:val="27"/>
        </w:numPr>
        <w:contextualSpacing/>
        <w:rPr>
          <w:szCs w:val="20"/>
        </w:rPr>
      </w:pPr>
      <w:r w:rsidRPr="007466EF">
        <w:rPr>
          <w:szCs w:val="20"/>
        </w:rPr>
        <w:t>potraživanja koja se odnose na zajmove dane županijskim, gradskim i općinskim proračunima u iznosu od 54.563.627,62 eura,</w:t>
      </w:r>
    </w:p>
    <w:p w14:paraId="5C6F7360" w14:textId="77777777" w:rsidR="001B4284" w:rsidRPr="007466EF" w:rsidRDefault="001B4284" w:rsidP="001B4284">
      <w:pPr>
        <w:numPr>
          <w:ilvl w:val="0"/>
          <w:numId w:val="27"/>
        </w:numPr>
        <w:contextualSpacing/>
        <w:rPr>
          <w:szCs w:val="20"/>
        </w:rPr>
      </w:pPr>
      <w:r w:rsidRPr="007466EF">
        <w:t xml:space="preserve">potraživanja za dane zajmove drugim razinama vlasti za dane međunarodne zajmove - EIB 25749 koja se odnose na zajmove dane županijskim proračunima u iznosu 7.286.468,15 eura (Istarska i Primorsko-goranska), </w:t>
      </w:r>
    </w:p>
    <w:p w14:paraId="3AAA0AFC" w14:textId="77777777" w:rsidR="001B4284" w:rsidRPr="007466EF" w:rsidRDefault="001B4284" w:rsidP="001B4284">
      <w:pPr>
        <w:numPr>
          <w:ilvl w:val="0"/>
          <w:numId w:val="27"/>
        </w:numPr>
        <w:contextualSpacing/>
        <w:rPr>
          <w:szCs w:val="20"/>
        </w:rPr>
      </w:pPr>
      <w:r w:rsidRPr="007466EF">
        <w:t>potraživanja za zajmove dane gradskim proračunima u iznosu 3.960.239,75 eura (Rijeka i Šibenik).</w:t>
      </w:r>
    </w:p>
    <w:p w14:paraId="2874289C" w14:textId="77777777" w:rsidR="001B4284" w:rsidRPr="007466EF" w:rsidRDefault="001B4284" w:rsidP="001B4284">
      <w:pPr>
        <w:spacing w:before="120" w:after="120"/>
        <w:ind w:left="714" w:hanging="714"/>
        <w:jc w:val="both"/>
        <w:rPr>
          <w:szCs w:val="20"/>
        </w:rPr>
      </w:pPr>
      <w:r w:rsidRPr="007466EF">
        <w:rPr>
          <w:szCs w:val="20"/>
        </w:rPr>
        <w:t>Pregled iznosa beskamatnih zajmova dan je u Tablici 2.</w:t>
      </w:r>
    </w:p>
    <w:p w14:paraId="0B46B1F5" w14:textId="77777777" w:rsidR="001B4284" w:rsidRPr="007466EF" w:rsidRDefault="001B4284" w:rsidP="001B4284">
      <w:pPr>
        <w:spacing w:before="120" w:after="120"/>
        <w:ind w:left="714" w:hanging="714"/>
        <w:jc w:val="both"/>
        <w:rPr>
          <w:szCs w:val="20"/>
        </w:rPr>
      </w:pPr>
    </w:p>
    <w:p w14:paraId="3225A9D8" w14:textId="77777777" w:rsidR="001B4284" w:rsidRPr="007466EF" w:rsidRDefault="001B4284" w:rsidP="001B4284">
      <w:pPr>
        <w:keepNext/>
        <w:tabs>
          <w:tab w:val="decimal" w:pos="8820"/>
        </w:tabs>
        <w:jc w:val="both"/>
        <w:rPr>
          <w:b/>
          <w:sz w:val="20"/>
        </w:rPr>
      </w:pPr>
      <w:r w:rsidRPr="007466EF">
        <w:rPr>
          <w:b/>
          <w:sz w:val="20"/>
        </w:rPr>
        <w:lastRenderedPageBreak/>
        <w:t>Tablica 2. Stanje potraživanja za beskamatne zajmove dane županijskim, gradskim i općinskim proračunima</w:t>
      </w:r>
    </w:p>
    <w:tbl>
      <w:tblPr>
        <w:tblW w:w="4460" w:type="pct"/>
        <w:jc w:val="center"/>
        <w:tblLook w:val="04A0" w:firstRow="1" w:lastRow="0" w:firstColumn="1" w:lastColumn="0" w:noHBand="0" w:noVBand="1"/>
      </w:tblPr>
      <w:tblGrid>
        <w:gridCol w:w="817"/>
        <w:gridCol w:w="5210"/>
        <w:gridCol w:w="2056"/>
      </w:tblGrid>
      <w:tr w:rsidR="001B4284" w:rsidRPr="007466EF" w14:paraId="22E149F0" w14:textId="77777777" w:rsidTr="000F0D22">
        <w:trPr>
          <w:trHeight w:val="600"/>
          <w:jc w:val="center"/>
        </w:trPr>
        <w:tc>
          <w:tcPr>
            <w:tcW w:w="505" w:type="pct"/>
            <w:tcBorders>
              <w:top w:val="single" w:sz="4" w:space="0" w:color="auto"/>
              <w:left w:val="single" w:sz="4" w:space="0" w:color="auto"/>
              <w:bottom w:val="single" w:sz="4" w:space="0" w:color="auto"/>
              <w:right w:val="single" w:sz="4" w:space="0" w:color="000000"/>
            </w:tcBorders>
            <w:vAlign w:val="center"/>
          </w:tcPr>
          <w:p w14:paraId="69F192E4" w14:textId="77777777" w:rsidR="001B4284" w:rsidRPr="007466EF" w:rsidRDefault="001B4284" w:rsidP="001B4284">
            <w:pPr>
              <w:keepNext/>
              <w:jc w:val="center"/>
              <w:rPr>
                <w:b/>
                <w:bCs/>
                <w:sz w:val="20"/>
                <w:szCs w:val="20"/>
              </w:rPr>
            </w:pPr>
            <w:r w:rsidRPr="007466EF">
              <w:rPr>
                <w:b/>
                <w:bCs/>
                <w:sz w:val="20"/>
                <w:szCs w:val="20"/>
              </w:rPr>
              <w:t>Red. broj</w:t>
            </w:r>
          </w:p>
        </w:tc>
        <w:tc>
          <w:tcPr>
            <w:tcW w:w="32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9D2358" w14:textId="77777777" w:rsidR="001B4284" w:rsidRPr="007466EF" w:rsidRDefault="001B4284" w:rsidP="001B4284">
            <w:pPr>
              <w:keepNext/>
              <w:jc w:val="center"/>
              <w:rPr>
                <w:b/>
                <w:bCs/>
                <w:sz w:val="20"/>
                <w:szCs w:val="20"/>
              </w:rPr>
            </w:pPr>
            <w:r w:rsidRPr="007466EF">
              <w:rPr>
                <w:b/>
                <w:bCs/>
                <w:sz w:val="20"/>
                <w:szCs w:val="20"/>
              </w:rPr>
              <w:t>Opis</w:t>
            </w:r>
          </w:p>
        </w:tc>
        <w:tc>
          <w:tcPr>
            <w:tcW w:w="1272" w:type="pct"/>
            <w:tcBorders>
              <w:top w:val="single" w:sz="4" w:space="0" w:color="auto"/>
              <w:left w:val="nil"/>
              <w:bottom w:val="single" w:sz="4" w:space="0" w:color="auto"/>
              <w:right w:val="single" w:sz="4" w:space="0" w:color="auto"/>
            </w:tcBorders>
            <w:shd w:val="clear" w:color="auto" w:fill="auto"/>
            <w:vAlign w:val="center"/>
            <w:hideMark/>
          </w:tcPr>
          <w:p w14:paraId="6E61E419" w14:textId="77777777" w:rsidR="001B4284" w:rsidRPr="007466EF" w:rsidRDefault="001B4284" w:rsidP="001B4284">
            <w:pPr>
              <w:keepNext/>
              <w:jc w:val="center"/>
              <w:rPr>
                <w:b/>
                <w:bCs/>
                <w:sz w:val="20"/>
                <w:szCs w:val="20"/>
              </w:rPr>
            </w:pPr>
            <w:r w:rsidRPr="007466EF">
              <w:rPr>
                <w:b/>
                <w:bCs/>
                <w:sz w:val="20"/>
                <w:szCs w:val="20"/>
              </w:rPr>
              <w:t xml:space="preserve">Stanje ukupnih </w:t>
            </w:r>
          </w:p>
          <w:p w14:paraId="3C787A1C" w14:textId="77777777" w:rsidR="001B4284" w:rsidRPr="007466EF" w:rsidRDefault="001B4284" w:rsidP="001B4284">
            <w:pPr>
              <w:keepNext/>
              <w:jc w:val="center"/>
              <w:rPr>
                <w:b/>
                <w:bCs/>
                <w:sz w:val="20"/>
                <w:szCs w:val="20"/>
              </w:rPr>
            </w:pPr>
            <w:r w:rsidRPr="007466EF">
              <w:rPr>
                <w:b/>
                <w:bCs/>
                <w:sz w:val="20"/>
                <w:szCs w:val="20"/>
              </w:rPr>
              <w:t>potraživanja na</w:t>
            </w:r>
          </w:p>
          <w:p w14:paraId="74F154B8" w14:textId="77777777" w:rsidR="001B4284" w:rsidRPr="007466EF" w:rsidRDefault="001B4284" w:rsidP="001B4284">
            <w:pPr>
              <w:keepNext/>
              <w:jc w:val="center"/>
              <w:rPr>
                <w:sz w:val="20"/>
                <w:szCs w:val="20"/>
              </w:rPr>
            </w:pPr>
            <w:r w:rsidRPr="007466EF">
              <w:rPr>
                <w:b/>
                <w:bCs/>
                <w:sz w:val="20"/>
                <w:szCs w:val="20"/>
              </w:rPr>
              <w:t>31.12.2024.</w:t>
            </w:r>
          </w:p>
          <w:p w14:paraId="694BFACC" w14:textId="77777777" w:rsidR="001B4284" w:rsidRPr="007466EF" w:rsidRDefault="001B4284" w:rsidP="001B4284">
            <w:pPr>
              <w:keepNext/>
              <w:jc w:val="center"/>
              <w:rPr>
                <w:b/>
                <w:bCs/>
                <w:sz w:val="20"/>
                <w:szCs w:val="20"/>
              </w:rPr>
            </w:pPr>
            <w:r w:rsidRPr="007466EF">
              <w:rPr>
                <w:b/>
                <w:sz w:val="20"/>
                <w:szCs w:val="20"/>
              </w:rPr>
              <w:t>(EUR)</w:t>
            </w:r>
          </w:p>
        </w:tc>
      </w:tr>
      <w:tr w:rsidR="001B4284" w:rsidRPr="007466EF" w14:paraId="5E8B421F" w14:textId="77777777" w:rsidTr="000F0D22">
        <w:trPr>
          <w:trHeight w:val="255"/>
          <w:jc w:val="center"/>
        </w:trPr>
        <w:tc>
          <w:tcPr>
            <w:tcW w:w="505" w:type="pct"/>
            <w:tcBorders>
              <w:top w:val="nil"/>
              <w:left w:val="single" w:sz="4" w:space="0" w:color="auto"/>
              <w:bottom w:val="single" w:sz="4" w:space="0" w:color="auto"/>
              <w:right w:val="single" w:sz="4" w:space="0" w:color="auto"/>
            </w:tcBorders>
            <w:shd w:val="clear" w:color="000000" w:fill="FFFFFF"/>
            <w:vAlign w:val="center"/>
          </w:tcPr>
          <w:p w14:paraId="37DE5042" w14:textId="77777777" w:rsidR="001B4284" w:rsidRPr="007466EF" w:rsidRDefault="001B4284" w:rsidP="001B4284">
            <w:pPr>
              <w:keepNext/>
              <w:numPr>
                <w:ilvl w:val="0"/>
                <w:numId w:val="11"/>
              </w:numPr>
              <w:contextualSpacing/>
              <w:rPr>
                <w:sz w:val="20"/>
                <w:szCs w:val="20"/>
              </w:rPr>
            </w:pPr>
          </w:p>
        </w:tc>
        <w:tc>
          <w:tcPr>
            <w:tcW w:w="3223" w:type="pct"/>
            <w:tcBorders>
              <w:top w:val="nil"/>
              <w:left w:val="single" w:sz="4" w:space="0" w:color="auto"/>
              <w:bottom w:val="single" w:sz="4" w:space="0" w:color="auto"/>
              <w:right w:val="single" w:sz="4" w:space="0" w:color="auto"/>
            </w:tcBorders>
            <w:shd w:val="clear" w:color="000000" w:fill="FFFFFF"/>
            <w:noWrap/>
            <w:vAlign w:val="center"/>
            <w:hideMark/>
          </w:tcPr>
          <w:p w14:paraId="66B9C62C" w14:textId="77777777" w:rsidR="001B4284" w:rsidRPr="007466EF" w:rsidRDefault="001B4284" w:rsidP="001B4284">
            <w:pPr>
              <w:keepNext/>
              <w:rPr>
                <w:sz w:val="20"/>
                <w:szCs w:val="20"/>
              </w:rPr>
            </w:pPr>
            <w:r w:rsidRPr="007466EF">
              <w:rPr>
                <w:sz w:val="20"/>
                <w:szCs w:val="20"/>
              </w:rPr>
              <w:t>Beskamatni zajmovi gradskim proračunima dugoročni</w:t>
            </w:r>
          </w:p>
        </w:tc>
        <w:tc>
          <w:tcPr>
            <w:tcW w:w="1272" w:type="pct"/>
            <w:tcBorders>
              <w:top w:val="nil"/>
              <w:left w:val="single" w:sz="4" w:space="0" w:color="auto"/>
              <w:bottom w:val="single" w:sz="4" w:space="0" w:color="auto"/>
              <w:right w:val="single" w:sz="4" w:space="0" w:color="auto"/>
            </w:tcBorders>
            <w:shd w:val="clear" w:color="000000" w:fill="FFFFFF"/>
            <w:noWrap/>
            <w:vAlign w:val="center"/>
            <w:hideMark/>
          </w:tcPr>
          <w:p w14:paraId="7FF469C9" w14:textId="77777777" w:rsidR="001B4284" w:rsidRPr="007466EF" w:rsidRDefault="001B4284" w:rsidP="001B4284">
            <w:pPr>
              <w:jc w:val="right"/>
              <w:rPr>
                <w:color w:val="000000"/>
                <w:sz w:val="20"/>
              </w:rPr>
            </w:pPr>
            <w:r w:rsidRPr="007466EF">
              <w:rPr>
                <w:color w:val="000000"/>
                <w:sz w:val="20"/>
              </w:rPr>
              <w:t>16.441.811,85</w:t>
            </w:r>
          </w:p>
        </w:tc>
      </w:tr>
      <w:tr w:rsidR="001B4284" w:rsidRPr="007466EF" w14:paraId="1DCEB21B" w14:textId="77777777" w:rsidTr="000F0D22">
        <w:trPr>
          <w:trHeight w:val="255"/>
          <w:jc w:val="center"/>
        </w:trPr>
        <w:tc>
          <w:tcPr>
            <w:tcW w:w="505" w:type="pct"/>
            <w:tcBorders>
              <w:top w:val="nil"/>
              <w:left w:val="single" w:sz="4" w:space="0" w:color="auto"/>
              <w:bottom w:val="single" w:sz="4" w:space="0" w:color="auto"/>
              <w:right w:val="single" w:sz="4" w:space="0" w:color="auto"/>
            </w:tcBorders>
            <w:shd w:val="clear" w:color="000000" w:fill="FFFFFF"/>
            <w:vAlign w:val="center"/>
          </w:tcPr>
          <w:p w14:paraId="1F749414" w14:textId="77777777" w:rsidR="001B4284" w:rsidRPr="007466EF" w:rsidRDefault="001B4284" w:rsidP="001B4284">
            <w:pPr>
              <w:keepNext/>
              <w:numPr>
                <w:ilvl w:val="0"/>
                <w:numId w:val="11"/>
              </w:numPr>
              <w:contextualSpacing/>
              <w:rPr>
                <w:sz w:val="20"/>
                <w:szCs w:val="20"/>
              </w:rPr>
            </w:pPr>
          </w:p>
        </w:tc>
        <w:tc>
          <w:tcPr>
            <w:tcW w:w="3223" w:type="pct"/>
            <w:tcBorders>
              <w:top w:val="nil"/>
              <w:left w:val="single" w:sz="4" w:space="0" w:color="auto"/>
              <w:bottom w:val="single" w:sz="4" w:space="0" w:color="auto"/>
              <w:right w:val="single" w:sz="4" w:space="0" w:color="auto"/>
            </w:tcBorders>
            <w:shd w:val="clear" w:color="000000" w:fill="FFFFFF"/>
            <w:noWrap/>
            <w:vAlign w:val="center"/>
            <w:hideMark/>
          </w:tcPr>
          <w:p w14:paraId="56617D8F" w14:textId="77777777" w:rsidR="001B4284" w:rsidRPr="007466EF" w:rsidRDefault="001B4284" w:rsidP="001B4284">
            <w:pPr>
              <w:keepNext/>
              <w:rPr>
                <w:sz w:val="20"/>
                <w:szCs w:val="20"/>
              </w:rPr>
            </w:pPr>
            <w:r w:rsidRPr="007466EF">
              <w:rPr>
                <w:sz w:val="20"/>
                <w:szCs w:val="20"/>
              </w:rPr>
              <w:t>Beskamatni zajmovi općinskim proračunima kratkoročni</w:t>
            </w:r>
          </w:p>
        </w:tc>
        <w:tc>
          <w:tcPr>
            <w:tcW w:w="1272" w:type="pct"/>
            <w:tcBorders>
              <w:top w:val="nil"/>
              <w:left w:val="single" w:sz="4" w:space="0" w:color="auto"/>
              <w:bottom w:val="single" w:sz="4" w:space="0" w:color="auto"/>
              <w:right w:val="single" w:sz="4" w:space="0" w:color="auto"/>
            </w:tcBorders>
            <w:shd w:val="clear" w:color="000000" w:fill="FFFFFF"/>
            <w:noWrap/>
            <w:vAlign w:val="center"/>
            <w:hideMark/>
          </w:tcPr>
          <w:p w14:paraId="751ABCEC" w14:textId="77777777" w:rsidR="001B4284" w:rsidRPr="007466EF" w:rsidRDefault="001B4284" w:rsidP="001B4284">
            <w:pPr>
              <w:keepNext/>
              <w:jc w:val="right"/>
              <w:rPr>
                <w:sz w:val="20"/>
                <w:szCs w:val="20"/>
              </w:rPr>
            </w:pPr>
            <w:r w:rsidRPr="007466EF">
              <w:rPr>
                <w:sz w:val="20"/>
              </w:rPr>
              <w:t>32.204.243,30</w:t>
            </w:r>
          </w:p>
        </w:tc>
      </w:tr>
      <w:tr w:rsidR="001B4284" w:rsidRPr="007466EF" w14:paraId="24E84EDC" w14:textId="77777777" w:rsidTr="000F0D22">
        <w:trPr>
          <w:trHeight w:val="255"/>
          <w:jc w:val="center"/>
        </w:trPr>
        <w:tc>
          <w:tcPr>
            <w:tcW w:w="505" w:type="pct"/>
            <w:tcBorders>
              <w:top w:val="single" w:sz="4" w:space="0" w:color="auto"/>
              <w:left w:val="single" w:sz="4" w:space="0" w:color="auto"/>
              <w:bottom w:val="single" w:sz="4" w:space="0" w:color="auto"/>
              <w:right w:val="single" w:sz="4" w:space="0" w:color="auto"/>
            </w:tcBorders>
            <w:shd w:val="clear" w:color="000000" w:fill="FFFFFF"/>
            <w:vAlign w:val="center"/>
          </w:tcPr>
          <w:p w14:paraId="1D937FC4" w14:textId="77777777" w:rsidR="001B4284" w:rsidRPr="007466EF" w:rsidRDefault="001B4284" w:rsidP="001B4284">
            <w:pPr>
              <w:keepNext/>
              <w:numPr>
                <w:ilvl w:val="0"/>
                <w:numId w:val="11"/>
              </w:numPr>
              <w:contextualSpacing/>
              <w:rPr>
                <w:sz w:val="20"/>
                <w:szCs w:val="20"/>
              </w:rPr>
            </w:pPr>
          </w:p>
        </w:tc>
        <w:tc>
          <w:tcPr>
            <w:tcW w:w="322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994065" w14:textId="77777777" w:rsidR="001B4284" w:rsidRPr="007466EF" w:rsidRDefault="001B4284" w:rsidP="001B4284">
            <w:pPr>
              <w:keepNext/>
              <w:rPr>
                <w:sz w:val="20"/>
                <w:szCs w:val="20"/>
              </w:rPr>
            </w:pPr>
            <w:r w:rsidRPr="007466EF">
              <w:rPr>
                <w:sz w:val="20"/>
                <w:szCs w:val="20"/>
              </w:rPr>
              <w:t>Beskamatni zajmovi općinskim proračunima dugoročni</w:t>
            </w:r>
          </w:p>
        </w:tc>
        <w:tc>
          <w:tcPr>
            <w:tcW w:w="127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483364" w14:textId="77777777" w:rsidR="001B4284" w:rsidRPr="007466EF" w:rsidRDefault="001B4284" w:rsidP="001B4284">
            <w:pPr>
              <w:keepNext/>
              <w:jc w:val="right"/>
              <w:rPr>
                <w:sz w:val="20"/>
                <w:szCs w:val="20"/>
              </w:rPr>
            </w:pPr>
            <w:r w:rsidRPr="007466EF">
              <w:rPr>
                <w:sz w:val="20"/>
              </w:rPr>
              <w:t>5.917.572,47</w:t>
            </w:r>
          </w:p>
        </w:tc>
      </w:tr>
      <w:tr w:rsidR="001B4284" w:rsidRPr="007466EF" w14:paraId="1069BC25" w14:textId="77777777" w:rsidTr="000F0D22">
        <w:trPr>
          <w:trHeight w:val="255"/>
          <w:jc w:val="center"/>
        </w:trPr>
        <w:tc>
          <w:tcPr>
            <w:tcW w:w="505" w:type="pct"/>
            <w:tcBorders>
              <w:top w:val="single" w:sz="4" w:space="0" w:color="auto"/>
              <w:left w:val="single" w:sz="4" w:space="0" w:color="auto"/>
              <w:bottom w:val="single" w:sz="4" w:space="0" w:color="auto"/>
              <w:right w:val="single" w:sz="4" w:space="0" w:color="auto"/>
            </w:tcBorders>
            <w:shd w:val="clear" w:color="000000" w:fill="FFFFFF"/>
            <w:vAlign w:val="center"/>
          </w:tcPr>
          <w:p w14:paraId="7F2604FE" w14:textId="77777777" w:rsidR="001B4284" w:rsidRPr="007466EF" w:rsidRDefault="001B4284" w:rsidP="001B4284">
            <w:pPr>
              <w:keepNext/>
              <w:ind w:left="720"/>
              <w:contextualSpacing/>
              <w:rPr>
                <w:sz w:val="20"/>
                <w:szCs w:val="20"/>
              </w:rPr>
            </w:pPr>
          </w:p>
        </w:tc>
        <w:tc>
          <w:tcPr>
            <w:tcW w:w="32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9A7184" w14:textId="77777777" w:rsidR="001B4284" w:rsidRPr="007466EF" w:rsidRDefault="001B4284" w:rsidP="001B4284">
            <w:pPr>
              <w:keepNext/>
              <w:rPr>
                <w:b/>
                <w:sz w:val="20"/>
                <w:szCs w:val="20"/>
              </w:rPr>
            </w:pPr>
            <w:r w:rsidRPr="007466EF">
              <w:rPr>
                <w:b/>
                <w:sz w:val="20"/>
                <w:szCs w:val="20"/>
              </w:rPr>
              <w:t>UKUPNO</w:t>
            </w:r>
          </w:p>
        </w:tc>
        <w:tc>
          <w:tcPr>
            <w:tcW w:w="1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01CEDC" w14:textId="77777777" w:rsidR="001B4284" w:rsidRPr="007466EF" w:rsidRDefault="001B4284" w:rsidP="001B4284">
            <w:pPr>
              <w:keepNext/>
              <w:jc w:val="right"/>
              <w:rPr>
                <w:b/>
                <w:sz w:val="20"/>
                <w:szCs w:val="20"/>
              </w:rPr>
            </w:pPr>
            <w:r w:rsidRPr="007466EF">
              <w:rPr>
                <w:b/>
                <w:sz w:val="20"/>
              </w:rPr>
              <w:t>54.563.627,62</w:t>
            </w:r>
          </w:p>
        </w:tc>
      </w:tr>
    </w:tbl>
    <w:p w14:paraId="43639269" w14:textId="77777777" w:rsidR="001B4284" w:rsidRPr="007466EF" w:rsidRDefault="001B4284" w:rsidP="007466EF">
      <w:pPr>
        <w:jc w:val="both"/>
      </w:pPr>
    </w:p>
    <w:p w14:paraId="5DF49E1C" w14:textId="77777777" w:rsidR="001B4284" w:rsidRPr="007466EF" w:rsidRDefault="001B4284" w:rsidP="001B4284">
      <w:pPr>
        <w:keepNext/>
        <w:jc w:val="center"/>
        <w:rPr>
          <w:bCs/>
          <w:sz w:val="28"/>
          <w:szCs w:val="28"/>
        </w:rPr>
      </w:pPr>
      <w:r w:rsidRPr="007466EF">
        <w:rPr>
          <w:bCs/>
          <w:sz w:val="28"/>
          <w:szCs w:val="28"/>
        </w:rPr>
        <w:t>Bilješka 9.</w:t>
      </w:r>
    </w:p>
    <w:p w14:paraId="0C627B75" w14:textId="77777777" w:rsidR="001B4284" w:rsidRPr="007466EF" w:rsidRDefault="001B4284" w:rsidP="001B4284">
      <w:pPr>
        <w:keepNext/>
        <w:jc w:val="center"/>
        <w:rPr>
          <w:bCs/>
          <w:sz w:val="28"/>
          <w:szCs w:val="28"/>
        </w:rPr>
      </w:pPr>
      <w:r w:rsidRPr="007466EF">
        <w:rPr>
          <w:bCs/>
          <w:sz w:val="28"/>
          <w:szCs w:val="28"/>
        </w:rPr>
        <w:t>Šifra 1375 Zajmovi HZMO-u, HZZ-u, HZZO-u, Šifra 1376 Zajmovi ostalim izvanproračunskim korisnicima državnog proračuna</w:t>
      </w:r>
    </w:p>
    <w:p w14:paraId="3926DE78" w14:textId="7D3B6C46" w:rsidR="001B4284" w:rsidRPr="007466EF" w:rsidRDefault="001B4284" w:rsidP="001B4284">
      <w:pPr>
        <w:keepNext/>
        <w:jc w:val="both"/>
      </w:pPr>
      <w:r w:rsidRPr="007466EF">
        <w:t>Potraživanja za dane zajmove Hrvatskom zavodu za mirovinsko osiguranje (HZMO), Hrvatskom zavodu za zapošljavanje (HZZ), Hrvatskom zavodu za zdravstveno osiguranje (HZZO) na dan 31. prosinca 2024</w:t>
      </w:r>
      <w:r w:rsidR="000F0D22" w:rsidRPr="007466EF">
        <w:t>.</w:t>
      </w:r>
      <w:r w:rsidRPr="007466EF">
        <w:t xml:space="preserve"> (šifra 1375) iskazana su u iznosu od 83.271.756,18 eura, i bilježe smanjenje za 10,0% u odnosu na stanje na dan 1. siječnja 2024. Navedena potraživanja odnose se na beskamatne zajmove isplaćene HZZO-u temeljem odgode/obročne otplate te oslobođenja od plaćanja doprinosa u skladu s Naputkom o načinu isplate beskamatnog zajma JLP(R)S, HZMO i HZZO-u. HZZO iste vraća najkasnije do kraja 2027. </w:t>
      </w:r>
    </w:p>
    <w:p w14:paraId="23316674" w14:textId="0C44BA44" w:rsidR="001B4284" w:rsidRDefault="001B4284" w:rsidP="00FB0E6E">
      <w:pPr>
        <w:jc w:val="both"/>
      </w:pPr>
      <w:r w:rsidRPr="007466EF">
        <w:t>Potraživanja za dane zajmove ostalim izvanproračunskim korisnicima državnog proračuna (šifra 1376) na dan 31. prosinca 2024. iskazana su u iznosu od 1.300.224.502,37 eura</w:t>
      </w:r>
      <w:r w:rsidRPr="007466EF">
        <w:rPr>
          <w:bCs/>
        </w:rPr>
        <w:t xml:space="preserve"> </w:t>
      </w:r>
      <w:r w:rsidRPr="007466EF">
        <w:t xml:space="preserve">od čega se najveći dio odnosi na zajmove dane Hrvatskim autocestama d.o.o., Hrvatskim cestama d.o.o. te Autocesti Rijeka – Zagreb d.d., dok se preostala potraživanja odnose na zajmove temeljem Sporazuma o međusobnim obvezama i potraživanjima s Centrom za restrukturiranje i prodaju. </w:t>
      </w:r>
    </w:p>
    <w:p w14:paraId="43AA84CA" w14:textId="77777777" w:rsidR="00FB0E6E" w:rsidRPr="007466EF" w:rsidRDefault="00FB0E6E" w:rsidP="00FB0E6E">
      <w:pPr>
        <w:jc w:val="both"/>
      </w:pPr>
    </w:p>
    <w:p w14:paraId="39344735" w14:textId="77777777" w:rsidR="001B4284" w:rsidRPr="007466EF" w:rsidRDefault="001B4284" w:rsidP="001B4284">
      <w:pPr>
        <w:keepNext/>
        <w:jc w:val="center"/>
        <w:rPr>
          <w:sz w:val="28"/>
        </w:rPr>
      </w:pPr>
      <w:r w:rsidRPr="007466EF">
        <w:rPr>
          <w:sz w:val="28"/>
        </w:rPr>
        <w:t>Bilješka 10.</w:t>
      </w:r>
    </w:p>
    <w:p w14:paraId="259C98A4" w14:textId="77777777" w:rsidR="001B4284" w:rsidRPr="007466EF" w:rsidRDefault="001B4284" w:rsidP="001B4284">
      <w:pPr>
        <w:keepNext/>
        <w:jc w:val="center"/>
        <w:rPr>
          <w:sz w:val="28"/>
        </w:rPr>
      </w:pPr>
      <w:r w:rsidRPr="007466EF">
        <w:rPr>
          <w:sz w:val="28"/>
        </w:rPr>
        <w:t>Šifra 1462 Ostali vrijednosni papiri (inozemni)</w:t>
      </w:r>
    </w:p>
    <w:p w14:paraId="0398A3FF" w14:textId="77777777" w:rsidR="001B4284" w:rsidRPr="007466EF" w:rsidRDefault="001B4284" w:rsidP="001B4284">
      <w:pPr>
        <w:widowControl w:val="0"/>
        <w:jc w:val="both"/>
      </w:pPr>
      <w:r w:rsidRPr="007466EF">
        <w:t>Na dan 31. prosinca 2024. vrijednost ostalih vrijednosnih papira u iznosu od 4.325.436,37 eura odnosi se na investicijski fond - J.P. Morgan Fleming, a povećanje u iznosu od 11,4% u odnosu na stanje na dan 1. siječnja 2024. odnosi se na vrijednosno usklađenje s 31. prosinca 2023.</w:t>
      </w:r>
    </w:p>
    <w:p w14:paraId="11D82E01" w14:textId="77777777" w:rsidR="001B4284" w:rsidRPr="007466EF" w:rsidRDefault="001B4284" w:rsidP="00FB0E6E">
      <w:pPr>
        <w:jc w:val="both"/>
      </w:pPr>
    </w:p>
    <w:p w14:paraId="2D6990F7" w14:textId="77777777" w:rsidR="001B4284" w:rsidRPr="007466EF" w:rsidRDefault="001B4284" w:rsidP="001B4284">
      <w:pPr>
        <w:keepNext/>
        <w:jc w:val="center"/>
        <w:rPr>
          <w:sz w:val="28"/>
        </w:rPr>
      </w:pPr>
      <w:r w:rsidRPr="007466EF">
        <w:rPr>
          <w:sz w:val="28"/>
        </w:rPr>
        <w:t>Bilješka 11.</w:t>
      </w:r>
    </w:p>
    <w:p w14:paraId="45EB1AD6" w14:textId="77777777" w:rsidR="001B4284" w:rsidRPr="007466EF" w:rsidRDefault="001B4284" w:rsidP="001B4284">
      <w:pPr>
        <w:keepNext/>
        <w:jc w:val="center"/>
        <w:rPr>
          <w:sz w:val="28"/>
        </w:rPr>
      </w:pPr>
      <w:r w:rsidRPr="007466EF">
        <w:rPr>
          <w:sz w:val="28"/>
        </w:rPr>
        <w:t>Šifra 1512 Dionice i udjeli u glavnici kreditnih institucija u javnom sektoru, Šifra 1521 Dionice i udjeli u glavnici trgovačkih društava u javnom sektoru</w:t>
      </w:r>
    </w:p>
    <w:p w14:paraId="67716C0A" w14:textId="77777777" w:rsidR="001B4284" w:rsidRPr="007466EF" w:rsidRDefault="001B4284" w:rsidP="001B4284">
      <w:pPr>
        <w:jc w:val="both"/>
      </w:pPr>
      <w:r w:rsidRPr="007466EF">
        <w:t>Dionice i udjeli u glavnici kreditnih institucija u javnom sektoru (šifra 1512) na dan 31. prosinca 2024. iskazane su u iznosu od 974.972.451,30 eura, a dionice i udjeli u glavnici trgovačkih društava u javnom sektoru (šifra 1521) u iznosu od 4.240.383.232,05 eura i odnose se na dionice i udjele u pravnim osobama od posebnog interesa za Republiku Hrvatsku.</w:t>
      </w:r>
    </w:p>
    <w:p w14:paraId="054AB5D8" w14:textId="77777777" w:rsidR="001B4284" w:rsidRPr="007466EF" w:rsidRDefault="001B4284" w:rsidP="001B4284">
      <w:pPr>
        <w:jc w:val="both"/>
      </w:pPr>
    </w:p>
    <w:p w14:paraId="1E2EDCC3" w14:textId="429B29F0" w:rsidR="001B4284" w:rsidRPr="007466EF" w:rsidRDefault="001B4284" w:rsidP="001B4284">
      <w:pPr>
        <w:shd w:val="clear" w:color="auto" w:fill="FFFFFF"/>
        <w:spacing w:after="48"/>
        <w:jc w:val="both"/>
        <w:textAlignment w:val="baseline"/>
      </w:pPr>
      <w:r w:rsidRPr="007466EF">
        <w:rPr>
          <w:color w:val="231F20"/>
          <w:shd w:val="clear" w:color="auto" w:fill="FFFFFF"/>
        </w:rPr>
        <w:t>Naime, Zakonom o izmjenama Zakona o ustrojstvu i djelokrugu tijela državne uprave</w:t>
      </w:r>
      <w:r w:rsidRPr="007466EF">
        <w:rPr>
          <w:color w:val="000000"/>
        </w:rPr>
        <w:t xml:space="preserve"> (Narodne novine, br. 21/23.) izmijenjene su odredbe o djelokrugu Ministarstva financija i utvrđeno je da Ministarstvo financija preuzima poslove iz djelokruga Ministarstva prostornoga uređenja, graditeljstva i državne imovine u dijelu koji se odnosi na ostvarivanje vlasničke politike u pravnim osobama od posebnog interesa za Republiku Hrvatsku. </w:t>
      </w:r>
      <w:r w:rsidRPr="007466EF">
        <w:t>Ministarstvu financija prenesene se dionice i udjeli u društvima od posebnoga interesa za republiku Hrvatsku iz poslovnih knjiga Ministarstva prostornoga uređenja, graditeljstva i državne imovine.</w:t>
      </w:r>
    </w:p>
    <w:p w14:paraId="55A4BFC4" w14:textId="77777777" w:rsidR="00C45823" w:rsidRPr="007466EF" w:rsidRDefault="00C45823" w:rsidP="001B4284">
      <w:pPr>
        <w:shd w:val="clear" w:color="auto" w:fill="FFFFFF"/>
        <w:spacing w:after="48"/>
        <w:jc w:val="both"/>
        <w:textAlignment w:val="baseline"/>
        <w:rPr>
          <w:color w:val="000000"/>
        </w:rPr>
      </w:pPr>
    </w:p>
    <w:p w14:paraId="06D7EEA6" w14:textId="77777777" w:rsidR="001B4284" w:rsidRPr="007466EF" w:rsidRDefault="001B4284" w:rsidP="001B4284">
      <w:pPr>
        <w:jc w:val="center"/>
        <w:rPr>
          <w:sz w:val="28"/>
        </w:rPr>
      </w:pPr>
      <w:r w:rsidRPr="007466EF">
        <w:rPr>
          <w:sz w:val="28"/>
        </w:rPr>
        <w:lastRenderedPageBreak/>
        <w:t>Bilješka 12.</w:t>
      </w:r>
    </w:p>
    <w:p w14:paraId="24EB068F" w14:textId="77777777" w:rsidR="001B4284" w:rsidRPr="007466EF" w:rsidRDefault="001B4284" w:rsidP="001B4284">
      <w:pPr>
        <w:jc w:val="center"/>
        <w:rPr>
          <w:sz w:val="28"/>
        </w:rPr>
      </w:pPr>
      <w:r w:rsidRPr="007466EF">
        <w:rPr>
          <w:sz w:val="28"/>
        </w:rPr>
        <w:t>Šifra 1532 Dionice i udjeli u glavnici inozemnih kreditnih i ostalih financijskih institucija</w:t>
      </w:r>
    </w:p>
    <w:p w14:paraId="676774E3" w14:textId="356E0E3B" w:rsidR="001B4284" w:rsidRPr="007466EF" w:rsidRDefault="001B4284" w:rsidP="001B4284">
      <w:pPr>
        <w:jc w:val="both"/>
        <w:rPr>
          <w:szCs w:val="20"/>
        </w:rPr>
      </w:pPr>
      <w:r w:rsidRPr="007466EF">
        <w:rPr>
          <w:szCs w:val="20"/>
        </w:rPr>
        <w:t>Dionice i udjeli u glavnici inozemnih kreditnih i ostalih financijskih institucija na dan 31. prosinca 2024</w:t>
      </w:r>
      <w:r w:rsidR="001F1B16" w:rsidRPr="007466EF">
        <w:rPr>
          <w:szCs w:val="20"/>
        </w:rPr>
        <w:t>.</w:t>
      </w:r>
      <w:r w:rsidRPr="007466EF">
        <w:rPr>
          <w:szCs w:val="20"/>
        </w:rPr>
        <w:t xml:space="preserve"> iskazane su iznosu od 375.482.717,28 eura, dok su na dan 1. siječnja 2024. iskazana u iznosu od 280.876.815,33 eura i bilježe povećanje od 33,7% u promatranom razdoblju.</w:t>
      </w:r>
    </w:p>
    <w:p w14:paraId="06FC199C" w14:textId="77777777" w:rsidR="001B4284" w:rsidRPr="007466EF" w:rsidRDefault="001B4284" w:rsidP="001B4284">
      <w:pPr>
        <w:jc w:val="both"/>
      </w:pPr>
      <w:r w:rsidRPr="007466EF">
        <w:rPr>
          <w:szCs w:val="20"/>
        </w:rPr>
        <w:t>Dionice i udjeli u glavnici inozemnih kreditnih i ostalih financijskih institucija</w:t>
      </w:r>
      <w:r w:rsidRPr="007466EF">
        <w:t xml:space="preserve"> odnose se na:</w:t>
      </w:r>
    </w:p>
    <w:p w14:paraId="106F33CA" w14:textId="77777777" w:rsidR="001B4284" w:rsidRPr="007466EF" w:rsidRDefault="001B4284" w:rsidP="001B4284">
      <w:pPr>
        <w:numPr>
          <w:ilvl w:val="0"/>
          <w:numId w:val="24"/>
        </w:numPr>
        <w:contextualSpacing/>
        <w:jc w:val="both"/>
      </w:pPr>
      <w:r w:rsidRPr="007466EF">
        <w:t>članski kapital Republike Hrvatske u međunarodnim financijskim institucijama( Međunarodna banka za obnovu i razvoj (IBRD), Međunarodno udruženje za razvoj (IDA), Međunarodna financijska korporacija (IFC), Multilateralna agencija za osiguranje investicija (MIGA), Europska investicijska banka (EIB), Europska banka za obnovu i razvoj (EBRD), Razvojna banka Vijeća Europe (CEB), Inter-američka banka za razvoj (IDB), Inter-američka investicijska korporacija (IIC) i Azijska infrastrukturna investicijska banka (AIIB)) u iznosu od 363.046.112,54 eura</w:t>
      </w:r>
    </w:p>
    <w:p w14:paraId="1522961D" w14:textId="77777777" w:rsidR="001B4284" w:rsidRPr="007466EF" w:rsidRDefault="001B4284" w:rsidP="001B4284">
      <w:pPr>
        <w:numPr>
          <w:ilvl w:val="0"/>
          <w:numId w:val="24"/>
        </w:numPr>
        <w:contextualSpacing/>
        <w:jc w:val="both"/>
      </w:pPr>
      <w:r w:rsidRPr="007466EF">
        <w:t xml:space="preserve">ulaganje Republike Hrvatske u Investicijski fond Inicijative triju mora u iznosu od 12.433.604,74 eura. </w:t>
      </w:r>
    </w:p>
    <w:p w14:paraId="6AE5A62E" w14:textId="77777777" w:rsidR="001B4284" w:rsidRPr="007466EF" w:rsidRDefault="001B4284" w:rsidP="001B4284">
      <w:pPr>
        <w:jc w:val="both"/>
      </w:pPr>
    </w:p>
    <w:p w14:paraId="07253624" w14:textId="77777777" w:rsidR="001B4284" w:rsidRPr="007466EF" w:rsidRDefault="001B4284" w:rsidP="001B4284">
      <w:pPr>
        <w:jc w:val="both"/>
        <w:rPr>
          <w:b/>
          <w:sz w:val="20"/>
          <w:szCs w:val="20"/>
        </w:rPr>
      </w:pPr>
      <w:r w:rsidRPr="007466EF">
        <w:rPr>
          <w:b/>
          <w:sz w:val="20"/>
          <w:szCs w:val="20"/>
        </w:rPr>
        <w:t>Tablica 3. Članski kapital Republike Hrvatske u međunarodnim financijskim institucijama</w:t>
      </w:r>
    </w:p>
    <w:tbl>
      <w:tblPr>
        <w:tblW w:w="7652" w:type="dxa"/>
        <w:jc w:val="center"/>
        <w:tblLook w:val="04A0" w:firstRow="1" w:lastRow="0" w:firstColumn="1" w:lastColumn="0" w:noHBand="0" w:noVBand="1"/>
      </w:tblPr>
      <w:tblGrid>
        <w:gridCol w:w="851"/>
        <w:gridCol w:w="1761"/>
        <w:gridCol w:w="1960"/>
        <w:gridCol w:w="1540"/>
        <w:gridCol w:w="1540"/>
      </w:tblGrid>
      <w:tr w:rsidR="001B4284" w:rsidRPr="007466EF" w14:paraId="62EA56AB" w14:textId="77777777" w:rsidTr="000F0D22">
        <w:trPr>
          <w:trHeight w:val="510"/>
          <w:jc w:val="center"/>
        </w:trPr>
        <w:tc>
          <w:tcPr>
            <w:tcW w:w="4572" w:type="dxa"/>
            <w:gridSpan w:val="3"/>
            <w:tcBorders>
              <w:top w:val="nil"/>
              <w:left w:val="nil"/>
              <w:bottom w:val="nil"/>
              <w:right w:val="nil"/>
            </w:tcBorders>
            <w:shd w:val="clear" w:color="auto" w:fill="auto"/>
            <w:noWrap/>
            <w:vAlign w:val="center"/>
            <w:hideMark/>
          </w:tcPr>
          <w:p w14:paraId="399AA745" w14:textId="77777777" w:rsidR="001B4284" w:rsidRPr="007466EF" w:rsidRDefault="001B4284" w:rsidP="001B4284">
            <w:pPr>
              <w:rPr>
                <w:sz w:val="20"/>
                <w:szCs w:val="20"/>
              </w:rPr>
            </w:pPr>
          </w:p>
        </w:tc>
        <w:tc>
          <w:tcPr>
            <w:tcW w:w="3080"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14:paraId="7D0FD1A3" w14:textId="77777777" w:rsidR="001B4284" w:rsidRPr="007466EF" w:rsidRDefault="001B4284" w:rsidP="001B4284">
            <w:pPr>
              <w:jc w:val="center"/>
              <w:rPr>
                <w:rFonts w:ascii="Arial" w:hAnsi="Arial" w:cs="Arial"/>
                <w:b/>
                <w:bCs/>
                <w:sz w:val="20"/>
                <w:szCs w:val="20"/>
              </w:rPr>
            </w:pPr>
            <w:r w:rsidRPr="007466EF">
              <w:rPr>
                <w:rFonts w:ascii="Arial" w:hAnsi="Arial" w:cs="Arial"/>
                <w:b/>
                <w:bCs/>
                <w:sz w:val="20"/>
                <w:szCs w:val="20"/>
              </w:rPr>
              <w:t xml:space="preserve">UPLAĆENI KAPITAL </w:t>
            </w:r>
            <w:r w:rsidRPr="007466EF">
              <w:rPr>
                <w:rFonts w:ascii="Arial" w:hAnsi="Arial" w:cs="Arial"/>
                <w:b/>
                <w:bCs/>
                <w:sz w:val="20"/>
                <w:szCs w:val="20"/>
              </w:rPr>
              <w:br/>
              <w:t>(PAID-IN CAPITAL)</w:t>
            </w:r>
          </w:p>
        </w:tc>
      </w:tr>
      <w:tr w:rsidR="001B4284" w:rsidRPr="007466EF" w14:paraId="3A1C87F4" w14:textId="77777777" w:rsidTr="000F0D22">
        <w:trPr>
          <w:trHeight w:val="64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BD315" w14:textId="77777777" w:rsidR="001B4284" w:rsidRPr="007466EF" w:rsidRDefault="001B4284" w:rsidP="001B4284">
            <w:pPr>
              <w:jc w:val="center"/>
              <w:rPr>
                <w:b/>
                <w:bCs/>
                <w:sz w:val="16"/>
                <w:szCs w:val="16"/>
              </w:rPr>
            </w:pPr>
            <w:r w:rsidRPr="007466EF">
              <w:rPr>
                <w:b/>
                <w:bCs/>
                <w:sz w:val="16"/>
                <w:szCs w:val="16"/>
              </w:rPr>
              <w:t>Red. broj</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14:paraId="07ADBB3A" w14:textId="77777777" w:rsidR="001B4284" w:rsidRPr="007466EF" w:rsidRDefault="001B4284" w:rsidP="001B4284">
            <w:pPr>
              <w:jc w:val="center"/>
              <w:rPr>
                <w:b/>
                <w:bCs/>
                <w:sz w:val="16"/>
                <w:szCs w:val="16"/>
              </w:rPr>
            </w:pPr>
            <w:r w:rsidRPr="007466EF">
              <w:rPr>
                <w:b/>
                <w:bCs/>
                <w:sz w:val="16"/>
                <w:szCs w:val="16"/>
              </w:rPr>
              <w:t>Naziv</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2EF45772" w14:textId="77777777" w:rsidR="001B4284" w:rsidRPr="007466EF" w:rsidRDefault="001B4284" w:rsidP="001B4284">
            <w:pPr>
              <w:jc w:val="center"/>
              <w:rPr>
                <w:b/>
                <w:bCs/>
                <w:sz w:val="16"/>
                <w:szCs w:val="16"/>
              </w:rPr>
            </w:pPr>
            <w:r w:rsidRPr="007466EF">
              <w:rPr>
                <w:b/>
                <w:bCs/>
                <w:sz w:val="16"/>
                <w:szCs w:val="16"/>
              </w:rPr>
              <w:t>Valuta</w:t>
            </w:r>
          </w:p>
        </w:tc>
        <w:tc>
          <w:tcPr>
            <w:tcW w:w="1540" w:type="dxa"/>
            <w:tcBorders>
              <w:top w:val="nil"/>
              <w:left w:val="nil"/>
              <w:bottom w:val="single" w:sz="4" w:space="0" w:color="auto"/>
              <w:right w:val="single" w:sz="4" w:space="0" w:color="auto"/>
            </w:tcBorders>
            <w:shd w:val="clear" w:color="auto" w:fill="auto"/>
            <w:vAlign w:val="center"/>
            <w:hideMark/>
          </w:tcPr>
          <w:p w14:paraId="6ECB6CCE" w14:textId="77777777" w:rsidR="001B4284" w:rsidRPr="007466EF" w:rsidRDefault="001B4284" w:rsidP="001B4284">
            <w:pPr>
              <w:jc w:val="center"/>
              <w:rPr>
                <w:b/>
                <w:bCs/>
                <w:sz w:val="16"/>
                <w:szCs w:val="16"/>
              </w:rPr>
            </w:pPr>
            <w:r w:rsidRPr="007466EF">
              <w:rPr>
                <w:b/>
                <w:bCs/>
                <w:sz w:val="16"/>
                <w:szCs w:val="16"/>
              </w:rPr>
              <w:t>Stanje na dan 31.12.2024.  (</w:t>
            </w:r>
            <w:proofErr w:type="spellStart"/>
            <w:r w:rsidRPr="007466EF">
              <w:rPr>
                <w:b/>
                <w:bCs/>
                <w:sz w:val="16"/>
                <w:szCs w:val="16"/>
              </w:rPr>
              <w:t>org.val</w:t>
            </w:r>
            <w:proofErr w:type="spellEnd"/>
            <w:r w:rsidRPr="007466EF">
              <w:rPr>
                <w:b/>
                <w:bCs/>
                <w:sz w:val="16"/>
                <w:szCs w:val="16"/>
              </w:rPr>
              <w:t>.)</w:t>
            </w:r>
          </w:p>
        </w:tc>
        <w:tc>
          <w:tcPr>
            <w:tcW w:w="1540" w:type="dxa"/>
            <w:tcBorders>
              <w:top w:val="nil"/>
              <w:left w:val="nil"/>
              <w:bottom w:val="single" w:sz="4" w:space="0" w:color="auto"/>
              <w:right w:val="single" w:sz="4" w:space="0" w:color="auto"/>
            </w:tcBorders>
            <w:shd w:val="clear" w:color="auto" w:fill="auto"/>
            <w:vAlign w:val="center"/>
            <w:hideMark/>
          </w:tcPr>
          <w:p w14:paraId="0D1A041D" w14:textId="77777777" w:rsidR="001B4284" w:rsidRPr="007466EF" w:rsidRDefault="001B4284" w:rsidP="001B4284">
            <w:pPr>
              <w:jc w:val="center"/>
              <w:rPr>
                <w:b/>
                <w:bCs/>
                <w:sz w:val="16"/>
                <w:szCs w:val="16"/>
              </w:rPr>
            </w:pPr>
            <w:r w:rsidRPr="007466EF">
              <w:rPr>
                <w:b/>
                <w:bCs/>
                <w:sz w:val="16"/>
                <w:szCs w:val="16"/>
              </w:rPr>
              <w:t>Stanje na 31.12.2024. u euru</w:t>
            </w:r>
          </w:p>
        </w:tc>
      </w:tr>
      <w:tr w:rsidR="001B4284" w:rsidRPr="007466EF" w14:paraId="6010D91D"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398770D" w14:textId="77777777" w:rsidR="001B4284" w:rsidRPr="007466EF" w:rsidRDefault="001B4284" w:rsidP="001B4284">
            <w:pPr>
              <w:jc w:val="center"/>
              <w:rPr>
                <w:sz w:val="16"/>
                <w:szCs w:val="16"/>
              </w:rPr>
            </w:pPr>
            <w:r w:rsidRPr="007466EF">
              <w:rPr>
                <w:sz w:val="16"/>
                <w:szCs w:val="16"/>
              </w:rPr>
              <w:t>1.</w:t>
            </w:r>
          </w:p>
        </w:tc>
        <w:tc>
          <w:tcPr>
            <w:tcW w:w="1761" w:type="dxa"/>
            <w:tcBorders>
              <w:top w:val="nil"/>
              <w:left w:val="nil"/>
              <w:bottom w:val="single" w:sz="4" w:space="0" w:color="auto"/>
              <w:right w:val="single" w:sz="4" w:space="0" w:color="auto"/>
            </w:tcBorders>
            <w:shd w:val="clear" w:color="auto" w:fill="auto"/>
            <w:noWrap/>
            <w:vAlign w:val="center"/>
            <w:hideMark/>
          </w:tcPr>
          <w:p w14:paraId="3B1C1EA4" w14:textId="77777777" w:rsidR="001B4284" w:rsidRPr="007466EF" w:rsidRDefault="001B4284" w:rsidP="001B4284">
            <w:pPr>
              <w:rPr>
                <w:sz w:val="16"/>
                <w:szCs w:val="16"/>
              </w:rPr>
            </w:pPr>
            <w:r w:rsidRPr="007466EF">
              <w:rPr>
                <w:sz w:val="16"/>
                <w:szCs w:val="16"/>
              </w:rPr>
              <w:t>IBRD</w:t>
            </w:r>
          </w:p>
        </w:tc>
        <w:tc>
          <w:tcPr>
            <w:tcW w:w="1960" w:type="dxa"/>
            <w:tcBorders>
              <w:top w:val="nil"/>
              <w:left w:val="nil"/>
              <w:bottom w:val="single" w:sz="4" w:space="0" w:color="auto"/>
              <w:right w:val="single" w:sz="4" w:space="0" w:color="auto"/>
            </w:tcBorders>
            <w:shd w:val="clear" w:color="auto" w:fill="auto"/>
            <w:vAlign w:val="center"/>
            <w:hideMark/>
          </w:tcPr>
          <w:p w14:paraId="40D0493A" w14:textId="77777777" w:rsidR="001B4284" w:rsidRPr="007466EF" w:rsidRDefault="001B4284" w:rsidP="001B4284">
            <w:pPr>
              <w:jc w:val="center"/>
              <w:rPr>
                <w:sz w:val="16"/>
                <w:szCs w:val="16"/>
              </w:rPr>
            </w:pPr>
            <w:r w:rsidRPr="007466EF">
              <w:rPr>
                <w:sz w:val="16"/>
                <w:szCs w:val="16"/>
              </w:rPr>
              <w:t>USD</w:t>
            </w:r>
          </w:p>
        </w:tc>
        <w:tc>
          <w:tcPr>
            <w:tcW w:w="1540" w:type="dxa"/>
            <w:tcBorders>
              <w:top w:val="nil"/>
              <w:left w:val="nil"/>
              <w:bottom w:val="single" w:sz="4" w:space="0" w:color="auto"/>
              <w:right w:val="single" w:sz="4" w:space="0" w:color="auto"/>
            </w:tcBorders>
            <w:shd w:val="clear" w:color="auto" w:fill="auto"/>
            <w:vAlign w:val="center"/>
            <w:hideMark/>
          </w:tcPr>
          <w:p w14:paraId="11961322" w14:textId="77777777" w:rsidR="001B4284" w:rsidRPr="007466EF" w:rsidRDefault="001B4284" w:rsidP="001B4284">
            <w:pPr>
              <w:jc w:val="right"/>
              <w:rPr>
                <w:sz w:val="16"/>
                <w:szCs w:val="16"/>
              </w:rPr>
            </w:pPr>
            <w:r w:rsidRPr="007466EF">
              <w:rPr>
                <w:sz w:val="16"/>
                <w:szCs w:val="16"/>
              </w:rPr>
              <w:t>29.875.257,75</w:t>
            </w:r>
          </w:p>
        </w:tc>
        <w:tc>
          <w:tcPr>
            <w:tcW w:w="1540" w:type="dxa"/>
            <w:tcBorders>
              <w:top w:val="nil"/>
              <w:left w:val="nil"/>
              <w:bottom w:val="single" w:sz="4" w:space="0" w:color="auto"/>
              <w:right w:val="single" w:sz="4" w:space="0" w:color="auto"/>
            </w:tcBorders>
            <w:shd w:val="clear" w:color="auto" w:fill="auto"/>
            <w:vAlign w:val="center"/>
            <w:hideMark/>
          </w:tcPr>
          <w:p w14:paraId="4568C9C1" w14:textId="77777777" w:rsidR="001B4284" w:rsidRPr="007466EF" w:rsidRDefault="001B4284" w:rsidP="001B4284">
            <w:pPr>
              <w:jc w:val="right"/>
              <w:rPr>
                <w:sz w:val="16"/>
                <w:szCs w:val="16"/>
              </w:rPr>
            </w:pPr>
            <w:r w:rsidRPr="007466EF">
              <w:rPr>
                <w:sz w:val="16"/>
                <w:szCs w:val="16"/>
              </w:rPr>
              <w:t>28.605.187,43</w:t>
            </w:r>
          </w:p>
        </w:tc>
      </w:tr>
      <w:tr w:rsidR="001B4284" w:rsidRPr="007466EF" w14:paraId="598B207B"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1660BE0" w14:textId="77777777" w:rsidR="001B4284" w:rsidRPr="007466EF" w:rsidRDefault="001B4284" w:rsidP="001B4284">
            <w:pPr>
              <w:jc w:val="center"/>
              <w:rPr>
                <w:sz w:val="16"/>
                <w:szCs w:val="16"/>
              </w:rPr>
            </w:pPr>
            <w:r w:rsidRPr="007466EF">
              <w:rPr>
                <w:sz w:val="16"/>
                <w:szCs w:val="16"/>
              </w:rPr>
              <w:t>2.</w:t>
            </w:r>
          </w:p>
        </w:tc>
        <w:tc>
          <w:tcPr>
            <w:tcW w:w="1761" w:type="dxa"/>
            <w:tcBorders>
              <w:top w:val="nil"/>
              <w:left w:val="nil"/>
              <w:bottom w:val="single" w:sz="4" w:space="0" w:color="auto"/>
              <w:right w:val="single" w:sz="4" w:space="0" w:color="auto"/>
            </w:tcBorders>
            <w:shd w:val="clear" w:color="auto" w:fill="auto"/>
            <w:noWrap/>
            <w:vAlign w:val="center"/>
            <w:hideMark/>
          </w:tcPr>
          <w:p w14:paraId="42E237CA" w14:textId="77777777" w:rsidR="001B4284" w:rsidRPr="007466EF" w:rsidRDefault="001B4284" w:rsidP="001B4284">
            <w:pPr>
              <w:rPr>
                <w:sz w:val="16"/>
                <w:szCs w:val="16"/>
              </w:rPr>
            </w:pPr>
            <w:r w:rsidRPr="007466EF">
              <w:rPr>
                <w:sz w:val="16"/>
                <w:szCs w:val="16"/>
              </w:rPr>
              <w:t>IDA</w:t>
            </w:r>
          </w:p>
        </w:tc>
        <w:tc>
          <w:tcPr>
            <w:tcW w:w="1960" w:type="dxa"/>
            <w:tcBorders>
              <w:top w:val="nil"/>
              <w:left w:val="nil"/>
              <w:bottom w:val="single" w:sz="4" w:space="0" w:color="auto"/>
              <w:right w:val="single" w:sz="4" w:space="0" w:color="auto"/>
            </w:tcBorders>
            <w:shd w:val="clear" w:color="auto" w:fill="auto"/>
            <w:vAlign w:val="center"/>
            <w:hideMark/>
          </w:tcPr>
          <w:p w14:paraId="7B8308B0" w14:textId="77777777" w:rsidR="001B4284" w:rsidRPr="007466EF" w:rsidRDefault="001B4284" w:rsidP="001B4284">
            <w:pPr>
              <w:jc w:val="center"/>
              <w:rPr>
                <w:sz w:val="16"/>
                <w:szCs w:val="16"/>
              </w:rPr>
            </w:pPr>
            <w:r w:rsidRPr="007466EF">
              <w:rPr>
                <w:sz w:val="16"/>
                <w:szCs w:val="16"/>
              </w:rPr>
              <w:t>USD</w:t>
            </w:r>
          </w:p>
        </w:tc>
        <w:tc>
          <w:tcPr>
            <w:tcW w:w="1540" w:type="dxa"/>
            <w:tcBorders>
              <w:top w:val="nil"/>
              <w:left w:val="nil"/>
              <w:bottom w:val="single" w:sz="4" w:space="0" w:color="auto"/>
              <w:right w:val="single" w:sz="4" w:space="0" w:color="auto"/>
            </w:tcBorders>
            <w:shd w:val="clear" w:color="auto" w:fill="auto"/>
            <w:vAlign w:val="center"/>
            <w:hideMark/>
          </w:tcPr>
          <w:p w14:paraId="6CF1381A" w14:textId="77777777" w:rsidR="001B4284" w:rsidRPr="007466EF" w:rsidRDefault="001B4284" w:rsidP="001B4284">
            <w:pPr>
              <w:jc w:val="right"/>
              <w:rPr>
                <w:sz w:val="16"/>
                <w:szCs w:val="16"/>
              </w:rPr>
            </w:pPr>
            <w:r w:rsidRPr="007466EF">
              <w:rPr>
                <w:sz w:val="16"/>
                <w:szCs w:val="16"/>
              </w:rPr>
              <w:t>7.887.563,00</w:t>
            </w:r>
          </w:p>
        </w:tc>
        <w:tc>
          <w:tcPr>
            <w:tcW w:w="1540" w:type="dxa"/>
            <w:tcBorders>
              <w:top w:val="nil"/>
              <w:left w:val="nil"/>
              <w:bottom w:val="single" w:sz="4" w:space="0" w:color="auto"/>
              <w:right w:val="single" w:sz="4" w:space="0" w:color="auto"/>
            </w:tcBorders>
            <w:shd w:val="clear" w:color="auto" w:fill="auto"/>
            <w:vAlign w:val="center"/>
            <w:hideMark/>
          </w:tcPr>
          <w:p w14:paraId="7D023A7F" w14:textId="77777777" w:rsidR="001B4284" w:rsidRPr="007466EF" w:rsidRDefault="001B4284" w:rsidP="001B4284">
            <w:pPr>
              <w:jc w:val="right"/>
              <w:rPr>
                <w:sz w:val="16"/>
                <w:szCs w:val="16"/>
              </w:rPr>
            </w:pPr>
            <w:r w:rsidRPr="007466EF">
              <w:rPr>
                <w:sz w:val="16"/>
                <w:szCs w:val="16"/>
              </w:rPr>
              <w:t>7.552.243,39</w:t>
            </w:r>
          </w:p>
        </w:tc>
      </w:tr>
      <w:tr w:rsidR="001B4284" w:rsidRPr="007466EF" w14:paraId="2B8036C0"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96A02BF" w14:textId="77777777" w:rsidR="001B4284" w:rsidRPr="007466EF" w:rsidRDefault="001B4284" w:rsidP="001B4284">
            <w:pPr>
              <w:jc w:val="center"/>
              <w:rPr>
                <w:sz w:val="16"/>
                <w:szCs w:val="16"/>
              </w:rPr>
            </w:pPr>
            <w:r w:rsidRPr="007466EF">
              <w:rPr>
                <w:sz w:val="16"/>
                <w:szCs w:val="16"/>
              </w:rPr>
              <w:t>3.</w:t>
            </w:r>
          </w:p>
        </w:tc>
        <w:tc>
          <w:tcPr>
            <w:tcW w:w="1761" w:type="dxa"/>
            <w:tcBorders>
              <w:top w:val="nil"/>
              <w:left w:val="nil"/>
              <w:bottom w:val="single" w:sz="4" w:space="0" w:color="auto"/>
              <w:right w:val="single" w:sz="4" w:space="0" w:color="auto"/>
            </w:tcBorders>
            <w:shd w:val="clear" w:color="auto" w:fill="auto"/>
            <w:noWrap/>
            <w:vAlign w:val="center"/>
            <w:hideMark/>
          </w:tcPr>
          <w:p w14:paraId="02F84117" w14:textId="77777777" w:rsidR="001B4284" w:rsidRPr="007466EF" w:rsidRDefault="001B4284" w:rsidP="001B4284">
            <w:pPr>
              <w:rPr>
                <w:sz w:val="16"/>
                <w:szCs w:val="16"/>
              </w:rPr>
            </w:pPr>
            <w:r w:rsidRPr="007466EF">
              <w:rPr>
                <w:sz w:val="16"/>
                <w:szCs w:val="16"/>
              </w:rPr>
              <w:t>IFC</w:t>
            </w:r>
          </w:p>
        </w:tc>
        <w:tc>
          <w:tcPr>
            <w:tcW w:w="1960" w:type="dxa"/>
            <w:tcBorders>
              <w:top w:val="nil"/>
              <w:left w:val="nil"/>
              <w:bottom w:val="single" w:sz="4" w:space="0" w:color="auto"/>
              <w:right w:val="single" w:sz="4" w:space="0" w:color="auto"/>
            </w:tcBorders>
            <w:shd w:val="clear" w:color="auto" w:fill="auto"/>
            <w:noWrap/>
            <w:vAlign w:val="center"/>
            <w:hideMark/>
          </w:tcPr>
          <w:p w14:paraId="08E5D1D2" w14:textId="77777777" w:rsidR="001B4284" w:rsidRPr="007466EF" w:rsidRDefault="001B4284" w:rsidP="001B4284">
            <w:pPr>
              <w:jc w:val="center"/>
              <w:rPr>
                <w:sz w:val="16"/>
                <w:szCs w:val="16"/>
              </w:rPr>
            </w:pPr>
            <w:r w:rsidRPr="007466EF">
              <w:rPr>
                <w:sz w:val="16"/>
                <w:szCs w:val="16"/>
              </w:rPr>
              <w:t>USD</w:t>
            </w:r>
          </w:p>
        </w:tc>
        <w:tc>
          <w:tcPr>
            <w:tcW w:w="1540" w:type="dxa"/>
            <w:tcBorders>
              <w:top w:val="nil"/>
              <w:left w:val="nil"/>
              <w:bottom w:val="single" w:sz="4" w:space="0" w:color="auto"/>
              <w:right w:val="single" w:sz="4" w:space="0" w:color="auto"/>
            </w:tcBorders>
            <w:shd w:val="clear" w:color="auto" w:fill="auto"/>
            <w:noWrap/>
            <w:vAlign w:val="center"/>
            <w:hideMark/>
          </w:tcPr>
          <w:p w14:paraId="73AF1D2F" w14:textId="77777777" w:rsidR="001B4284" w:rsidRPr="007466EF" w:rsidRDefault="001B4284" w:rsidP="001B4284">
            <w:pPr>
              <w:jc w:val="right"/>
              <w:rPr>
                <w:sz w:val="16"/>
                <w:szCs w:val="16"/>
              </w:rPr>
            </w:pPr>
            <w:r w:rsidRPr="007466EF">
              <w:rPr>
                <w:sz w:val="16"/>
                <w:szCs w:val="16"/>
              </w:rPr>
              <w:t>29.021.000,00</w:t>
            </w:r>
          </w:p>
        </w:tc>
        <w:tc>
          <w:tcPr>
            <w:tcW w:w="1540" w:type="dxa"/>
            <w:tcBorders>
              <w:top w:val="nil"/>
              <w:left w:val="nil"/>
              <w:bottom w:val="single" w:sz="4" w:space="0" w:color="auto"/>
              <w:right w:val="single" w:sz="4" w:space="0" w:color="auto"/>
            </w:tcBorders>
            <w:shd w:val="clear" w:color="auto" w:fill="auto"/>
            <w:vAlign w:val="center"/>
            <w:hideMark/>
          </w:tcPr>
          <w:p w14:paraId="1FFF983E" w14:textId="77777777" w:rsidR="001B4284" w:rsidRPr="007466EF" w:rsidRDefault="001B4284" w:rsidP="001B4284">
            <w:pPr>
              <w:jc w:val="right"/>
              <w:rPr>
                <w:sz w:val="16"/>
                <w:szCs w:val="16"/>
              </w:rPr>
            </w:pPr>
            <w:r w:rsidRPr="007466EF">
              <w:rPr>
                <w:sz w:val="16"/>
                <w:szCs w:val="16"/>
              </w:rPr>
              <w:t>27.787.246,27</w:t>
            </w:r>
          </w:p>
        </w:tc>
      </w:tr>
      <w:tr w:rsidR="001B4284" w:rsidRPr="007466EF" w14:paraId="7759DFBB"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C12E60" w14:textId="77777777" w:rsidR="001B4284" w:rsidRPr="007466EF" w:rsidRDefault="001B4284" w:rsidP="001B4284">
            <w:pPr>
              <w:jc w:val="center"/>
              <w:rPr>
                <w:sz w:val="16"/>
                <w:szCs w:val="16"/>
              </w:rPr>
            </w:pPr>
            <w:r w:rsidRPr="007466EF">
              <w:rPr>
                <w:sz w:val="16"/>
                <w:szCs w:val="16"/>
              </w:rPr>
              <w:t>4.</w:t>
            </w:r>
          </w:p>
        </w:tc>
        <w:tc>
          <w:tcPr>
            <w:tcW w:w="1761" w:type="dxa"/>
            <w:tcBorders>
              <w:top w:val="nil"/>
              <w:left w:val="nil"/>
              <w:bottom w:val="single" w:sz="4" w:space="0" w:color="auto"/>
              <w:right w:val="single" w:sz="4" w:space="0" w:color="auto"/>
            </w:tcBorders>
            <w:shd w:val="clear" w:color="auto" w:fill="auto"/>
            <w:noWrap/>
            <w:vAlign w:val="center"/>
            <w:hideMark/>
          </w:tcPr>
          <w:p w14:paraId="3E1D15C8" w14:textId="77777777" w:rsidR="001B4284" w:rsidRPr="007466EF" w:rsidRDefault="001B4284" w:rsidP="001B4284">
            <w:pPr>
              <w:rPr>
                <w:sz w:val="16"/>
                <w:szCs w:val="16"/>
              </w:rPr>
            </w:pPr>
            <w:r w:rsidRPr="007466EF">
              <w:rPr>
                <w:sz w:val="16"/>
                <w:szCs w:val="16"/>
              </w:rPr>
              <w:t>MIGA</w:t>
            </w:r>
          </w:p>
        </w:tc>
        <w:tc>
          <w:tcPr>
            <w:tcW w:w="1960" w:type="dxa"/>
            <w:tcBorders>
              <w:top w:val="nil"/>
              <w:left w:val="nil"/>
              <w:bottom w:val="single" w:sz="4" w:space="0" w:color="auto"/>
              <w:right w:val="single" w:sz="4" w:space="0" w:color="auto"/>
            </w:tcBorders>
            <w:shd w:val="clear" w:color="auto" w:fill="auto"/>
            <w:noWrap/>
            <w:vAlign w:val="center"/>
            <w:hideMark/>
          </w:tcPr>
          <w:p w14:paraId="7CD96BB3" w14:textId="77777777" w:rsidR="001B4284" w:rsidRPr="007466EF" w:rsidRDefault="001B4284" w:rsidP="001B4284">
            <w:pPr>
              <w:jc w:val="center"/>
              <w:rPr>
                <w:sz w:val="16"/>
                <w:szCs w:val="16"/>
              </w:rPr>
            </w:pPr>
            <w:r w:rsidRPr="007466EF">
              <w:rPr>
                <w:sz w:val="16"/>
                <w:szCs w:val="16"/>
              </w:rPr>
              <w:t>USD</w:t>
            </w:r>
          </w:p>
        </w:tc>
        <w:tc>
          <w:tcPr>
            <w:tcW w:w="1540" w:type="dxa"/>
            <w:tcBorders>
              <w:top w:val="nil"/>
              <w:left w:val="nil"/>
              <w:bottom w:val="single" w:sz="4" w:space="0" w:color="auto"/>
              <w:right w:val="single" w:sz="4" w:space="0" w:color="auto"/>
            </w:tcBorders>
            <w:shd w:val="clear" w:color="auto" w:fill="auto"/>
            <w:noWrap/>
            <w:vAlign w:val="center"/>
            <w:hideMark/>
          </w:tcPr>
          <w:p w14:paraId="3C05AE42" w14:textId="77777777" w:rsidR="001B4284" w:rsidRPr="007466EF" w:rsidRDefault="001B4284" w:rsidP="001B4284">
            <w:pPr>
              <w:jc w:val="right"/>
              <w:rPr>
                <w:sz w:val="16"/>
                <w:szCs w:val="16"/>
              </w:rPr>
            </w:pPr>
            <w:r w:rsidRPr="007466EF">
              <w:rPr>
                <w:sz w:val="16"/>
                <w:szCs w:val="16"/>
              </w:rPr>
              <w:t>677.759,00</w:t>
            </w:r>
          </w:p>
        </w:tc>
        <w:tc>
          <w:tcPr>
            <w:tcW w:w="1540" w:type="dxa"/>
            <w:tcBorders>
              <w:top w:val="nil"/>
              <w:left w:val="nil"/>
              <w:bottom w:val="single" w:sz="4" w:space="0" w:color="auto"/>
              <w:right w:val="single" w:sz="4" w:space="0" w:color="auto"/>
            </w:tcBorders>
            <w:shd w:val="clear" w:color="auto" w:fill="auto"/>
            <w:vAlign w:val="center"/>
            <w:hideMark/>
          </w:tcPr>
          <w:p w14:paraId="40FAFA1C" w14:textId="77777777" w:rsidR="001B4284" w:rsidRPr="007466EF" w:rsidRDefault="001B4284" w:rsidP="001B4284">
            <w:pPr>
              <w:jc w:val="right"/>
              <w:rPr>
                <w:sz w:val="16"/>
                <w:szCs w:val="16"/>
              </w:rPr>
            </w:pPr>
            <w:r w:rsidRPr="007466EF">
              <w:rPr>
                <w:sz w:val="16"/>
                <w:szCs w:val="16"/>
              </w:rPr>
              <w:t>648.945,81</w:t>
            </w:r>
          </w:p>
        </w:tc>
      </w:tr>
      <w:tr w:rsidR="001B4284" w:rsidRPr="007466EF" w14:paraId="29094176"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E907C9" w14:textId="77777777" w:rsidR="001B4284" w:rsidRPr="007466EF" w:rsidRDefault="001B4284" w:rsidP="001B4284">
            <w:pPr>
              <w:jc w:val="center"/>
              <w:rPr>
                <w:sz w:val="16"/>
                <w:szCs w:val="16"/>
              </w:rPr>
            </w:pPr>
            <w:r w:rsidRPr="007466EF">
              <w:rPr>
                <w:sz w:val="16"/>
                <w:szCs w:val="16"/>
              </w:rPr>
              <w:t>5.</w:t>
            </w:r>
          </w:p>
        </w:tc>
        <w:tc>
          <w:tcPr>
            <w:tcW w:w="1761" w:type="dxa"/>
            <w:tcBorders>
              <w:top w:val="nil"/>
              <w:left w:val="nil"/>
              <w:bottom w:val="single" w:sz="4" w:space="0" w:color="auto"/>
              <w:right w:val="single" w:sz="4" w:space="0" w:color="auto"/>
            </w:tcBorders>
            <w:shd w:val="clear" w:color="auto" w:fill="auto"/>
            <w:noWrap/>
            <w:vAlign w:val="center"/>
            <w:hideMark/>
          </w:tcPr>
          <w:p w14:paraId="7FDC97C9" w14:textId="77777777" w:rsidR="001B4284" w:rsidRPr="007466EF" w:rsidRDefault="001B4284" w:rsidP="001B4284">
            <w:pPr>
              <w:rPr>
                <w:sz w:val="16"/>
                <w:szCs w:val="16"/>
              </w:rPr>
            </w:pPr>
            <w:r w:rsidRPr="007466EF">
              <w:rPr>
                <w:sz w:val="16"/>
                <w:szCs w:val="16"/>
              </w:rPr>
              <w:t>EIB</w:t>
            </w:r>
          </w:p>
        </w:tc>
        <w:tc>
          <w:tcPr>
            <w:tcW w:w="1960" w:type="dxa"/>
            <w:tcBorders>
              <w:top w:val="nil"/>
              <w:left w:val="nil"/>
              <w:bottom w:val="single" w:sz="4" w:space="0" w:color="auto"/>
              <w:right w:val="single" w:sz="4" w:space="0" w:color="auto"/>
            </w:tcBorders>
            <w:shd w:val="clear" w:color="auto" w:fill="auto"/>
            <w:noWrap/>
            <w:vAlign w:val="center"/>
            <w:hideMark/>
          </w:tcPr>
          <w:p w14:paraId="4CB7FE31" w14:textId="77777777" w:rsidR="001B4284" w:rsidRPr="007466EF" w:rsidRDefault="001B4284" w:rsidP="001B4284">
            <w:pPr>
              <w:jc w:val="center"/>
              <w:rPr>
                <w:sz w:val="16"/>
                <w:szCs w:val="16"/>
              </w:rPr>
            </w:pPr>
            <w:r w:rsidRPr="007466EF">
              <w:rPr>
                <w:sz w:val="16"/>
                <w:szCs w:val="16"/>
              </w:rPr>
              <w:t>EUR</w:t>
            </w:r>
          </w:p>
        </w:tc>
        <w:tc>
          <w:tcPr>
            <w:tcW w:w="1540" w:type="dxa"/>
            <w:tcBorders>
              <w:top w:val="nil"/>
              <w:left w:val="nil"/>
              <w:bottom w:val="single" w:sz="4" w:space="0" w:color="auto"/>
              <w:right w:val="single" w:sz="4" w:space="0" w:color="auto"/>
            </w:tcBorders>
            <w:shd w:val="clear" w:color="auto" w:fill="auto"/>
            <w:noWrap/>
            <w:vAlign w:val="center"/>
            <w:hideMark/>
          </w:tcPr>
          <w:p w14:paraId="499F8786" w14:textId="77777777" w:rsidR="001B4284" w:rsidRPr="007466EF" w:rsidRDefault="001B4284" w:rsidP="001B4284">
            <w:pPr>
              <w:jc w:val="right"/>
              <w:rPr>
                <w:sz w:val="16"/>
                <w:szCs w:val="16"/>
              </w:rPr>
            </w:pPr>
            <w:r w:rsidRPr="007466EF">
              <w:rPr>
                <w:sz w:val="16"/>
                <w:szCs w:val="16"/>
              </w:rPr>
              <w:t>94.750.368,00</w:t>
            </w:r>
          </w:p>
        </w:tc>
        <w:tc>
          <w:tcPr>
            <w:tcW w:w="1540" w:type="dxa"/>
            <w:tcBorders>
              <w:top w:val="nil"/>
              <w:left w:val="nil"/>
              <w:bottom w:val="single" w:sz="4" w:space="0" w:color="auto"/>
              <w:right w:val="single" w:sz="4" w:space="0" w:color="auto"/>
            </w:tcBorders>
            <w:shd w:val="clear" w:color="auto" w:fill="auto"/>
            <w:vAlign w:val="center"/>
            <w:hideMark/>
          </w:tcPr>
          <w:p w14:paraId="081F04D6" w14:textId="77777777" w:rsidR="001B4284" w:rsidRPr="007466EF" w:rsidRDefault="001B4284" w:rsidP="001B4284">
            <w:pPr>
              <w:jc w:val="right"/>
              <w:rPr>
                <w:sz w:val="16"/>
                <w:szCs w:val="16"/>
              </w:rPr>
            </w:pPr>
            <w:r w:rsidRPr="007466EF">
              <w:rPr>
                <w:sz w:val="16"/>
                <w:szCs w:val="16"/>
              </w:rPr>
              <w:t>94.750.368,00</w:t>
            </w:r>
          </w:p>
        </w:tc>
      </w:tr>
      <w:tr w:rsidR="001B4284" w:rsidRPr="007466EF" w14:paraId="6939AFB4"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211CCA" w14:textId="77777777" w:rsidR="001B4284" w:rsidRPr="007466EF" w:rsidRDefault="001B4284" w:rsidP="001B4284">
            <w:pPr>
              <w:jc w:val="center"/>
              <w:rPr>
                <w:sz w:val="16"/>
                <w:szCs w:val="16"/>
              </w:rPr>
            </w:pPr>
            <w:r w:rsidRPr="007466EF">
              <w:rPr>
                <w:sz w:val="16"/>
                <w:szCs w:val="16"/>
              </w:rPr>
              <w:t>6.</w:t>
            </w:r>
          </w:p>
        </w:tc>
        <w:tc>
          <w:tcPr>
            <w:tcW w:w="1761" w:type="dxa"/>
            <w:tcBorders>
              <w:top w:val="nil"/>
              <w:left w:val="nil"/>
              <w:bottom w:val="single" w:sz="4" w:space="0" w:color="auto"/>
              <w:right w:val="single" w:sz="4" w:space="0" w:color="auto"/>
            </w:tcBorders>
            <w:shd w:val="clear" w:color="auto" w:fill="auto"/>
            <w:noWrap/>
            <w:vAlign w:val="center"/>
            <w:hideMark/>
          </w:tcPr>
          <w:p w14:paraId="085A51D2" w14:textId="77777777" w:rsidR="001B4284" w:rsidRPr="007466EF" w:rsidRDefault="001B4284" w:rsidP="001B4284">
            <w:pPr>
              <w:rPr>
                <w:sz w:val="16"/>
                <w:szCs w:val="16"/>
              </w:rPr>
            </w:pPr>
            <w:r w:rsidRPr="007466EF">
              <w:rPr>
                <w:sz w:val="16"/>
                <w:szCs w:val="16"/>
              </w:rPr>
              <w:t>EBRD</w:t>
            </w:r>
          </w:p>
        </w:tc>
        <w:tc>
          <w:tcPr>
            <w:tcW w:w="1960" w:type="dxa"/>
            <w:tcBorders>
              <w:top w:val="nil"/>
              <w:left w:val="nil"/>
              <w:bottom w:val="single" w:sz="4" w:space="0" w:color="auto"/>
              <w:right w:val="single" w:sz="4" w:space="0" w:color="auto"/>
            </w:tcBorders>
            <w:shd w:val="clear" w:color="auto" w:fill="auto"/>
            <w:noWrap/>
            <w:vAlign w:val="center"/>
            <w:hideMark/>
          </w:tcPr>
          <w:p w14:paraId="0C019000" w14:textId="77777777" w:rsidR="001B4284" w:rsidRPr="007466EF" w:rsidRDefault="001B4284" w:rsidP="001B4284">
            <w:pPr>
              <w:jc w:val="center"/>
              <w:rPr>
                <w:sz w:val="16"/>
                <w:szCs w:val="16"/>
              </w:rPr>
            </w:pPr>
            <w:r w:rsidRPr="007466EF">
              <w:rPr>
                <w:sz w:val="16"/>
                <w:szCs w:val="16"/>
              </w:rPr>
              <w:t>EUR</w:t>
            </w:r>
          </w:p>
        </w:tc>
        <w:tc>
          <w:tcPr>
            <w:tcW w:w="1540" w:type="dxa"/>
            <w:tcBorders>
              <w:top w:val="nil"/>
              <w:left w:val="nil"/>
              <w:bottom w:val="single" w:sz="4" w:space="0" w:color="auto"/>
              <w:right w:val="single" w:sz="4" w:space="0" w:color="auto"/>
            </w:tcBorders>
            <w:shd w:val="clear" w:color="auto" w:fill="auto"/>
            <w:noWrap/>
            <w:vAlign w:val="center"/>
            <w:hideMark/>
          </w:tcPr>
          <w:p w14:paraId="32FE1802" w14:textId="77777777" w:rsidR="001B4284" w:rsidRPr="007466EF" w:rsidRDefault="001B4284" w:rsidP="001B4284">
            <w:pPr>
              <w:jc w:val="right"/>
              <w:rPr>
                <w:sz w:val="16"/>
                <w:szCs w:val="16"/>
              </w:rPr>
            </w:pPr>
            <w:r w:rsidRPr="007466EF">
              <w:rPr>
                <w:sz w:val="16"/>
                <w:szCs w:val="16"/>
              </w:rPr>
              <w:t>22.820.000,00</w:t>
            </w:r>
          </w:p>
        </w:tc>
        <w:tc>
          <w:tcPr>
            <w:tcW w:w="1540" w:type="dxa"/>
            <w:tcBorders>
              <w:top w:val="nil"/>
              <w:left w:val="nil"/>
              <w:bottom w:val="single" w:sz="4" w:space="0" w:color="auto"/>
              <w:right w:val="single" w:sz="4" w:space="0" w:color="auto"/>
            </w:tcBorders>
            <w:shd w:val="clear" w:color="auto" w:fill="auto"/>
            <w:noWrap/>
            <w:vAlign w:val="center"/>
            <w:hideMark/>
          </w:tcPr>
          <w:p w14:paraId="58EBCD8E" w14:textId="77777777" w:rsidR="001B4284" w:rsidRPr="007466EF" w:rsidRDefault="001B4284" w:rsidP="001B4284">
            <w:pPr>
              <w:jc w:val="right"/>
              <w:rPr>
                <w:sz w:val="16"/>
                <w:szCs w:val="16"/>
              </w:rPr>
            </w:pPr>
            <w:r w:rsidRPr="007466EF">
              <w:rPr>
                <w:sz w:val="16"/>
                <w:szCs w:val="16"/>
              </w:rPr>
              <w:t>22.820.000,00</w:t>
            </w:r>
          </w:p>
        </w:tc>
      </w:tr>
      <w:tr w:rsidR="001B4284" w:rsidRPr="007466EF" w14:paraId="6194B8A0"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16748A" w14:textId="77777777" w:rsidR="001B4284" w:rsidRPr="007466EF" w:rsidRDefault="001B4284" w:rsidP="001B4284">
            <w:pPr>
              <w:jc w:val="center"/>
              <w:rPr>
                <w:sz w:val="16"/>
                <w:szCs w:val="16"/>
              </w:rPr>
            </w:pPr>
            <w:r w:rsidRPr="007466EF">
              <w:rPr>
                <w:sz w:val="16"/>
                <w:szCs w:val="16"/>
              </w:rPr>
              <w:t>7.</w:t>
            </w:r>
          </w:p>
        </w:tc>
        <w:tc>
          <w:tcPr>
            <w:tcW w:w="1761" w:type="dxa"/>
            <w:tcBorders>
              <w:top w:val="nil"/>
              <w:left w:val="nil"/>
              <w:bottom w:val="single" w:sz="4" w:space="0" w:color="auto"/>
              <w:right w:val="single" w:sz="4" w:space="0" w:color="auto"/>
            </w:tcBorders>
            <w:shd w:val="clear" w:color="auto" w:fill="auto"/>
            <w:noWrap/>
            <w:vAlign w:val="center"/>
            <w:hideMark/>
          </w:tcPr>
          <w:p w14:paraId="2981BE68" w14:textId="77777777" w:rsidR="001B4284" w:rsidRPr="007466EF" w:rsidRDefault="001B4284" w:rsidP="001B4284">
            <w:pPr>
              <w:rPr>
                <w:sz w:val="16"/>
                <w:szCs w:val="16"/>
              </w:rPr>
            </w:pPr>
            <w:r w:rsidRPr="007466EF">
              <w:rPr>
                <w:sz w:val="16"/>
                <w:szCs w:val="16"/>
              </w:rPr>
              <w:t>CEB</w:t>
            </w:r>
          </w:p>
        </w:tc>
        <w:tc>
          <w:tcPr>
            <w:tcW w:w="1960" w:type="dxa"/>
            <w:tcBorders>
              <w:top w:val="nil"/>
              <w:left w:val="nil"/>
              <w:bottom w:val="single" w:sz="4" w:space="0" w:color="auto"/>
              <w:right w:val="single" w:sz="4" w:space="0" w:color="auto"/>
            </w:tcBorders>
            <w:shd w:val="clear" w:color="auto" w:fill="auto"/>
            <w:noWrap/>
            <w:vAlign w:val="center"/>
            <w:hideMark/>
          </w:tcPr>
          <w:p w14:paraId="71726150" w14:textId="77777777" w:rsidR="001B4284" w:rsidRPr="007466EF" w:rsidRDefault="001B4284" w:rsidP="001B4284">
            <w:pPr>
              <w:jc w:val="center"/>
              <w:rPr>
                <w:sz w:val="16"/>
                <w:szCs w:val="16"/>
              </w:rPr>
            </w:pPr>
            <w:r w:rsidRPr="007466EF">
              <w:rPr>
                <w:sz w:val="16"/>
                <w:szCs w:val="16"/>
              </w:rPr>
              <w:t>EUR</w:t>
            </w:r>
          </w:p>
        </w:tc>
        <w:tc>
          <w:tcPr>
            <w:tcW w:w="1540" w:type="dxa"/>
            <w:tcBorders>
              <w:top w:val="nil"/>
              <w:left w:val="nil"/>
              <w:bottom w:val="single" w:sz="4" w:space="0" w:color="auto"/>
              <w:right w:val="single" w:sz="4" w:space="0" w:color="auto"/>
            </w:tcBorders>
            <w:shd w:val="clear" w:color="auto" w:fill="auto"/>
            <w:noWrap/>
            <w:vAlign w:val="center"/>
            <w:hideMark/>
          </w:tcPr>
          <w:p w14:paraId="4C0C297B" w14:textId="77777777" w:rsidR="001B4284" w:rsidRPr="007466EF" w:rsidRDefault="001B4284" w:rsidP="001B4284">
            <w:pPr>
              <w:jc w:val="right"/>
              <w:rPr>
                <w:sz w:val="16"/>
                <w:szCs w:val="16"/>
              </w:rPr>
            </w:pPr>
            <w:r w:rsidRPr="007466EF">
              <w:rPr>
                <w:sz w:val="16"/>
                <w:szCs w:val="16"/>
              </w:rPr>
              <w:t>4.715.084,50</w:t>
            </w:r>
          </w:p>
        </w:tc>
        <w:tc>
          <w:tcPr>
            <w:tcW w:w="1540" w:type="dxa"/>
            <w:tcBorders>
              <w:top w:val="nil"/>
              <w:left w:val="nil"/>
              <w:bottom w:val="single" w:sz="4" w:space="0" w:color="auto"/>
              <w:right w:val="single" w:sz="4" w:space="0" w:color="auto"/>
            </w:tcBorders>
            <w:shd w:val="clear" w:color="auto" w:fill="auto"/>
            <w:noWrap/>
            <w:vAlign w:val="center"/>
            <w:hideMark/>
          </w:tcPr>
          <w:p w14:paraId="09A0316C" w14:textId="77777777" w:rsidR="001B4284" w:rsidRPr="007466EF" w:rsidRDefault="001B4284" w:rsidP="001B4284">
            <w:pPr>
              <w:jc w:val="right"/>
              <w:rPr>
                <w:sz w:val="16"/>
                <w:szCs w:val="16"/>
              </w:rPr>
            </w:pPr>
            <w:r w:rsidRPr="007466EF">
              <w:rPr>
                <w:sz w:val="16"/>
                <w:szCs w:val="16"/>
              </w:rPr>
              <w:t>4.715.084,50</w:t>
            </w:r>
          </w:p>
        </w:tc>
      </w:tr>
      <w:tr w:rsidR="001B4284" w:rsidRPr="007466EF" w14:paraId="0A4F6367"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7BBB67" w14:textId="77777777" w:rsidR="001B4284" w:rsidRPr="007466EF" w:rsidRDefault="001B4284" w:rsidP="001B4284">
            <w:pPr>
              <w:jc w:val="center"/>
              <w:rPr>
                <w:sz w:val="16"/>
                <w:szCs w:val="16"/>
              </w:rPr>
            </w:pPr>
            <w:r w:rsidRPr="007466EF">
              <w:rPr>
                <w:sz w:val="16"/>
                <w:szCs w:val="16"/>
              </w:rPr>
              <w:t>8.</w:t>
            </w:r>
          </w:p>
        </w:tc>
        <w:tc>
          <w:tcPr>
            <w:tcW w:w="1761" w:type="dxa"/>
            <w:tcBorders>
              <w:top w:val="nil"/>
              <w:left w:val="nil"/>
              <w:bottom w:val="nil"/>
              <w:right w:val="single" w:sz="4" w:space="0" w:color="auto"/>
            </w:tcBorders>
            <w:shd w:val="clear" w:color="auto" w:fill="auto"/>
            <w:noWrap/>
            <w:vAlign w:val="center"/>
            <w:hideMark/>
          </w:tcPr>
          <w:p w14:paraId="22D119C3" w14:textId="77777777" w:rsidR="001B4284" w:rsidRPr="007466EF" w:rsidRDefault="001B4284" w:rsidP="001B4284">
            <w:pPr>
              <w:rPr>
                <w:sz w:val="16"/>
                <w:szCs w:val="16"/>
              </w:rPr>
            </w:pPr>
            <w:r w:rsidRPr="007466EF">
              <w:rPr>
                <w:sz w:val="16"/>
                <w:szCs w:val="16"/>
              </w:rPr>
              <w:t>IDB</w:t>
            </w:r>
          </w:p>
        </w:tc>
        <w:tc>
          <w:tcPr>
            <w:tcW w:w="1960" w:type="dxa"/>
            <w:tcBorders>
              <w:top w:val="nil"/>
              <w:left w:val="nil"/>
              <w:bottom w:val="nil"/>
              <w:right w:val="single" w:sz="4" w:space="0" w:color="auto"/>
            </w:tcBorders>
            <w:shd w:val="clear" w:color="auto" w:fill="auto"/>
            <w:noWrap/>
            <w:vAlign w:val="center"/>
            <w:hideMark/>
          </w:tcPr>
          <w:p w14:paraId="4AD62249" w14:textId="77777777" w:rsidR="001B4284" w:rsidRPr="007466EF" w:rsidRDefault="001B4284" w:rsidP="001B4284">
            <w:pPr>
              <w:jc w:val="center"/>
              <w:rPr>
                <w:sz w:val="16"/>
                <w:szCs w:val="16"/>
              </w:rPr>
            </w:pPr>
            <w:r w:rsidRPr="007466EF">
              <w:rPr>
                <w:sz w:val="16"/>
                <w:szCs w:val="16"/>
              </w:rPr>
              <w:t>USD</w:t>
            </w:r>
          </w:p>
        </w:tc>
        <w:tc>
          <w:tcPr>
            <w:tcW w:w="1540" w:type="dxa"/>
            <w:tcBorders>
              <w:top w:val="nil"/>
              <w:left w:val="nil"/>
              <w:bottom w:val="nil"/>
              <w:right w:val="single" w:sz="4" w:space="0" w:color="auto"/>
            </w:tcBorders>
            <w:shd w:val="clear" w:color="auto" w:fill="auto"/>
            <w:noWrap/>
            <w:vAlign w:val="center"/>
            <w:hideMark/>
          </w:tcPr>
          <w:p w14:paraId="13EE1932" w14:textId="77777777" w:rsidR="001B4284" w:rsidRPr="007466EF" w:rsidRDefault="001B4284" w:rsidP="001B4284">
            <w:pPr>
              <w:jc w:val="right"/>
              <w:rPr>
                <w:sz w:val="16"/>
                <w:szCs w:val="16"/>
              </w:rPr>
            </w:pPr>
            <w:r w:rsidRPr="007466EF">
              <w:rPr>
                <w:sz w:val="16"/>
                <w:szCs w:val="16"/>
              </w:rPr>
              <w:t>6.433.232,60</w:t>
            </w:r>
          </w:p>
        </w:tc>
        <w:tc>
          <w:tcPr>
            <w:tcW w:w="1540" w:type="dxa"/>
            <w:tcBorders>
              <w:top w:val="nil"/>
              <w:left w:val="nil"/>
              <w:bottom w:val="nil"/>
              <w:right w:val="single" w:sz="4" w:space="0" w:color="auto"/>
            </w:tcBorders>
            <w:shd w:val="clear" w:color="auto" w:fill="auto"/>
            <w:vAlign w:val="center"/>
            <w:hideMark/>
          </w:tcPr>
          <w:p w14:paraId="3049625D" w14:textId="77777777" w:rsidR="001B4284" w:rsidRPr="007466EF" w:rsidRDefault="001B4284" w:rsidP="001B4284">
            <w:pPr>
              <w:jc w:val="right"/>
              <w:rPr>
                <w:sz w:val="16"/>
                <w:szCs w:val="16"/>
              </w:rPr>
            </w:pPr>
            <w:r w:rsidRPr="007466EF">
              <w:rPr>
                <w:sz w:val="16"/>
                <w:szCs w:val="16"/>
              </w:rPr>
              <w:t>6.159.740,14</w:t>
            </w:r>
          </w:p>
        </w:tc>
      </w:tr>
      <w:tr w:rsidR="001B4284" w:rsidRPr="007466EF" w14:paraId="7F678267"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A52330" w14:textId="77777777" w:rsidR="001B4284" w:rsidRPr="007466EF" w:rsidRDefault="001B4284" w:rsidP="001B4284">
            <w:pPr>
              <w:jc w:val="center"/>
              <w:rPr>
                <w:sz w:val="16"/>
                <w:szCs w:val="16"/>
              </w:rPr>
            </w:pPr>
            <w:r w:rsidRPr="007466EF">
              <w:rPr>
                <w:sz w:val="16"/>
                <w:szCs w:val="16"/>
              </w:rPr>
              <w:t>9.</w:t>
            </w:r>
          </w:p>
        </w:tc>
        <w:tc>
          <w:tcPr>
            <w:tcW w:w="1761" w:type="dxa"/>
            <w:tcBorders>
              <w:top w:val="single" w:sz="4" w:space="0" w:color="auto"/>
              <w:left w:val="nil"/>
              <w:bottom w:val="nil"/>
              <w:right w:val="single" w:sz="4" w:space="0" w:color="auto"/>
            </w:tcBorders>
            <w:shd w:val="clear" w:color="auto" w:fill="auto"/>
            <w:noWrap/>
            <w:vAlign w:val="center"/>
            <w:hideMark/>
          </w:tcPr>
          <w:p w14:paraId="3443A7D4" w14:textId="77777777" w:rsidR="001B4284" w:rsidRPr="007466EF" w:rsidRDefault="001B4284" w:rsidP="001B4284">
            <w:pPr>
              <w:rPr>
                <w:sz w:val="16"/>
                <w:szCs w:val="16"/>
              </w:rPr>
            </w:pPr>
            <w:r w:rsidRPr="007466EF">
              <w:rPr>
                <w:sz w:val="16"/>
                <w:szCs w:val="16"/>
              </w:rPr>
              <w:t>IIC</w:t>
            </w:r>
          </w:p>
        </w:tc>
        <w:tc>
          <w:tcPr>
            <w:tcW w:w="1960" w:type="dxa"/>
            <w:tcBorders>
              <w:top w:val="single" w:sz="4" w:space="0" w:color="auto"/>
              <w:left w:val="nil"/>
              <w:bottom w:val="nil"/>
              <w:right w:val="single" w:sz="4" w:space="0" w:color="auto"/>
            </w:tcBorders>
            <w:shd w:val="clear" w:color="auto" w:fill="auto"/>
            <w:noWrap/>
            <w:vAlign w:val="center"/>
            <w:hideMark/>
          </w:tcPr>
          <w:p w14:paraId="228A3D1E" w14:textId="77777777" w:rsidR="001B4284" w:rsidRPr="007466EF" w:rsidRDefault="001B4284" w:rsidP="001B4284">
            <w:pPr>
              <w:jc w:val="center"/>
              <w:rPr>
                <w:sz w:val="16"/>
                <w:szCs w:val="16"/>
              </w:rPr>
            </w:pPr>
            <w:r w:rsidRPr="007466EF">
              <w:rPr>
                <w:sz w:val="16"/>
                <w:szCs w:val="16"/>
              </w:rPr>
              <w:t>USD</w:t>
            </w:r>
          </w:p>
        </w:tc>
        <w:tc>
          <w:tcPr>
            <w:tcW w:w="1540" w:type="dxa"/>
            <w:tcBorders>
              <w:top w:val="single" w:sz="4" w:space="0" w:color="auto"/>
              <w:left w:val="nil"/>
              <w:bottom w:val="nil"/>
              <w:right w:val="single" w:sz="4" w:space="0" w:color="auto"/>
            </w:tcBorders>
            <w:shd w:val="clear" w:color="auto" w:fill="auto"/>
            <w:noWrap/>
            <w:vAlign w:val="center"/>
            <w:hideMark/>
          </w:tcPr>
          <w:p w14:paraId="2C577E38" w14:textId="77777777" w:rsidR="001B4284" w:rsidRPr="007466EF" w:rsidRDefault="001B4284" w:rsidP="001B4284">
            <w:pPr>
              <w:jc w:val="right"/>
              <w:rPr>
                <w:sz w:val="16"/>
                <w:szCs w:val="16"/>
              </w:rPr>
            </w:pPr>
            <w:r w:rsidRPr="007466EF">
              <w:rPr>
                <w:sz w:val="16"/>
                <w:szCs w:val="16"/>
              </w:rPr>
              <w:t>339.750,60</w:t>
            </w:r>
          </w:p>
        </w:tc>
        <w:tc>
          <w:tcPr>
            <w:tcW w:w="1540" w:type="dxa"/>
            <w:tcBorders>
              <w:top w:val="single" w:sz="4" w:space="0" w:color="auto"/>
              <w:left w:val="nil"/>
              <w:bottom w:val="nil"/>
              <w:right w:val="single" w:sz="4" w:space="0" w:color="auto"/>
            </w:tcBorders>
            <w:shd w:val="clear" w:color="auto" w:fill="auto"/>
            <w:vAlign w:val="center"/>
            <w:hideMark/>
          </w:tcPr>
          <w:p w14:paraId="3391E769" w14:textId="77777777" w:rsidR="001B4284" w:rsidRPr="007466EF" w:rsidRDefault="001B4284" w:rsidP="001B4284">
            <w:pPr>
              <w:jc w:val="right"/>
              <w:rPr>
                <w:sz w:val="16"/>
                <w:szCs w:val="16"/>
              </w:rPr>
            </w:pPr>
            <w:r w:rsidRPr="007466EF">
              <w:rPr>
                <w:sz w:val="16"/>
                <w:szCs w:val="16"/>
              </w:rPr>
              <w:t>325.306,97</w:t>
            </w:r>
          </w:p>
        </w:tc>
      </w:tr>
      <w:tr w:rsidR="001B4284" w:rsidRPr="007466EF" w14:paraId="31D27B4F"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02B2C3" w14:textId="77777777" w:rsidR="001B4284" w:rsidRPr="007466EF" w:rsidRDefault="001B4284" w:rsidP="001B4284">
            <w:pPr>
              <w:jc w:val="center"/>
              <w:rPr>
                <w:sz w:val="16"/>
                <w:szCs w:val="16"/>
              </w:rPr>
            </w:pPr>
            <w:r w:rsidRPr="007466EF">
              <w:rPr>
                <w:sz w:val="16"/>
                <w:szCs w:val="16"/>
              </w:rPr>
              <w:t>10.</w:t>
            </w:r>
          </w:p>
        </w:tc>
        <w:tc>
          <w:tcPr>
            <w:tcW w:w="1761" w:type="dxa"/>
            <w:tcBorders>
              <w:top w:val="single" w:sz="4" w:space="0" w:color="auto"/>
              <w:left w:val="nil"/>
              <w:bottom w:val="nil"/>
              <w:right w:val="single" w:sz="4" w:space="0" w:color="auto"/>
            </w:tcBorders>
            <w:shd w:val="clear" w:color="auto" w:fill="auto"/>
            <w:noWrap/>
            <w:vAlign w:val="center"/>
            <w:hideMark/>
          </w:tcPr>
          <w:p w14:paraId="1F90BABC" w14:textId="77777777" w:rsidR="001B4284" w:rsidRPr="007466EF" w:rsidRDefault="001B4284" w:rsidP="001B4284">
            <w:pPr>
              <w:rPr>
                <w:sz w:val="16"/>
                <w:szCs w:val="16"/>
              </w:rPr>
            </w:pPr>
            <w:r w:rsidRPr="007466EF">
              <w:rPr>
                <w:sz w:val="16"/>
                <w:szCs w:val="16"/>
              </w:rPr>
              <w:t>AIIB</w:t>
            </w:r>
          </w:p>
        </w:tc>
        <w:tc>
          <w:tcPr>
            <w:tcW w:w="1960" w:type="dxa"/>
            <w:tcBorders>
              <w:top w:val="single" w:sz="4" w:space="0" w:color="auto"/>
              <w:left w:val="nil"/>
              <w:bottom w:val="nil"/>
              <w:right w:val="single" w:sz="4" w:space="0" w:color="auto"/>
            </w:tcBorders>
            <w:shd w:val="clear" w:color="auto" w:fill="auto"/>
            <w:noWrap/>
            <w:vAlign w:val="center"/>
            <w:hideMark/>
          </w:tcPr>
          <w:p w14:paraId="0E587440" w14:textId="77777777" w:rsidR="001B4284" w:rsidRPr="007466EF" w:rsidRDefault="001B4284" w:rsidP="001B4284">
            <w:pPr>
              <w:jc w:val="center"/>
              <w:rPr>
                <w:sz w:val="16"/>
                <w:szCs w:val="16"/>
              </w:rPr>
            </w:pPr>
            <w:r w:rsidRPr="007466EF">
              <w:rPr>
                <w:sz w:val="16"/>
                <w:szCs w:val="16"/>
              </w:rPr>
              <w:t>USD</w:t>
            </w:r>
          </w:p>
        </w:tc>
        <w:tc>
          <w:tcPr>
            <w:tcW w:w="1540" w:type="dxa"/>
            <w:tcBorders>
              <w:top w:val="single" w:sz="4" w:space="0" w:color="auto"/>
              <w:left w:val="nil"/>
              <w:bottom w:val="nil"/>
              <w:right w:val="single" w:sz="4" w:space="0" w:color="auto"/>
            </w:tcBorders>
            <w:shd w:val="clear" w:color="auto" w:fill="auto"/>
            <w:noWrap/>
            <w:vAlign w:val="center"/>
            <w:hideMark/>
          </w:tcPr>
          <w:p w14:paraId="72706655" w14:textId="77777777" w:rsidR="001B4284" w:rsidRPr="007466EF" w:rsidRDefault="001B4284" w:rsidP="001B4284">
            <w:pPr>
              <w:jc w:val="right"/>
              <w:rPr>
                <w:sz w:val="16"/>
                <w:szCs w:val="16"/>
              </w:rPr>
            </w:pPr>
            <w:r w:rsidRPr="007466EF">
              <w:rPr>
                <w:sz w:val="16"/>
                <w:szCs w:val="16"/>
              </w:rPr>
              <w:t>800.000,00</w:t>
            </w:r>
          </w:p>
        </w:tc>
        <w:tc>
          <w:tcPr>
            <w:tcW w:w="1540" w:type="dxa"/>
            <w:tcBorders>
              <w:top w:val="single" w:sz="4" w:space="0" w:color="auto"/>
              <w:left w:val="nil"/>
              <w:bottom w:val="nil"/>
              <w:right w:val="single" w:sz="4" w:space="0" w:color="auto"/>
            </w:tcBorders>
            <w:shd w:val="clear" w:color="auto" w:fill="auto"/>
            <w:vAlign w:val="center"/>
            <w:hideMark/>
          </w:tcPr>
          <w:p w14:paraId="5D12B5BA" w14:textId="77777777" w:rsidR="001B4284" w:rsidRPr="007466EF" w:rsidRDefault="001B4284" w:rsidP="001B4284">
            <w:pPr>
              <w:jc w:val="right"/>
              <w:rPr>
                <w:sz w:val="16"/>
                <w:szCs w:val="16"/>
              </w:rPr>
            </w:pPr>
            <w:r w:rsidRPr="007466EF">
              <w:rPr>
                <w:sz w:val="16"/>
                <w:szCs w:val="16"/>
              </w:rPr>
              <w:t>765.990,04</w:t>
            </w:r>
          </w:p>
        </w:tc>
      </w:tr>
      <w:tr w:rsidR="001B4284" w:rsidRPr="007466EF" w14:paraId="19A89E8F" w14:textId="77777777" w:rsidTr="000F0D22">
        <w:trPr>
          <w:trHeight w:val="27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D15E43" w14:textId="77777777" w:rsidR="001B4284" w:rsidRPr="007466EF" w:rsidRDefault="001B4284" w:rsidP="001B4284">
            <w:pPr>
              <w:jc w:val="center"/>
              <w:rPr>
                <w:sz w:val="16"/>
                <w:szCs w:val="16"/>
              </w:rPr>
            </w:pPr>
            <w:r w:rsidRPr="007466EF">
              <w:rPr>
                <w:sz w:val="16"/>
                <w:szCs w:val="16"/>
              </w:rPr>
              <w:t>11.</w:t>
            </w:r>
          </w:p>
        </w:tc>
        <w:tc>
          <w:tcPr>
            <w:tcW w:w="1761" w:type="dxa"/>
            <w:tcBorders>
              <w:top w:val="single" w:sz="4" w:space="0" w:color="auto"/>
              <w:left w:val="nil"/>
              <w:bottom w:val="nil"/>
              <w:right w:val="single" w:sz="4" w:space="0" w:color="auto"/>
            </w:tcBorders>
            <w:shd w:val="clear" w:color="auto" w:fill="auto"/>
            <w:noWrap/>
            <w:vAlign w:val="center"/>
            <w:hideMark/>
          </w:tcPr>
          <w:p w14:paraId="651A2500" w14:textId="77777777" w:rsidR="001B4284" w:rsidRPr="007466EF" w:rsidRDefault="001B4284" w:rsidP="001B4284">
            <w:pPr>
              <w:rPr>
                <w:sz w:val="16"/>
                <w:szCs w:val="16"/>
              </w:rPr>
            </w:pPr>
            <w:r w:rsidRPr="007466EF">
              <w:rPr>
                <w:sz w:val="16"/>
                <w:szCs w:val="16"/>
              </w:rPr>
              <w:t>ESM</w:t>
            </w:r>
          </w:p>
        </w:tc>
        <w:tc>
          <w:tcPr>
            <w:tcW w:w="1960" w:type="dxa"/>
            <w:tcBorders>
              <w:top w:val="single" w:sz="4" w:space="0" w:color="auto"/>
              <w:left w:val="nil"/>
              <w:bottom w:val="nil"/>
              <w:right w:val="single" w:sz="4" w:space="0" w:color="auto"/>
            </w:tcBorders>
            <w:shd w:val="clear" w:color="auto" w:fill="auto"/>
            <w:noWrap/>
            <w:vAlign w:val="center"/>
            <w:hideMark/>
          </w:tcPr>
          <w:p w14:paraId="370A6A29" w14:textId="77777777" w:rsidR="001B4284" w:rsidRPr="007466EF" w:rsidRDefault="001B4284" w:rsidP="001B4284">
            <w:pPr>
              <w:jc w:val="center"/>
              <w:rPr>
                <w:sz w:val="16"/>
                <w:szCs w:val="16"/>
              </w:rPr>
            </w:pPr>
            <w:r w:rsidRPr="007466EF">
              <w:rPr>
                <w:sz w:val="16"/>
                <w:szCs w:val="16"/>
              </w:rPr>
              <w:t>EUR</w:t>
            </w:r>
          </w:p>
        </w:tc>
        <w:tc>
          <w:tcPr>
            <w:tcW w:w="1540" w:type="dxa"/>
            <w:tcBorders>
              <w:top w:val="single" w:sz="4" w:space="0" w:color="auto"/>
              <w:left w:val="nil"/>
              <w:bottom w:val="nil"/>
              <w:right w:val="single" w:sz="4" w:space="0" w:color="auto"/>
            </w:tcBorders>
            <w:shd w:val="clear" w:color="auto" w:fill="auto"/>
            <w:noWrap/>
            <w:vAlign w:val="center"/>
            <w:hideMark/>
          </w:tcPr>
          <w:p w14:paraId="259775B9" w14:textId="77777777" w:rsidR="001B4284" w:rsidRPr="007466EF" w:rsidRDefault="001B4284" w:rsidP="001B4284">
            <w:pPr>
              <w:jc w:val="right"/>
              <w:rPr>
                <w:sz w:val="16"/>
                <w:szCs w:val="16"/>
              </w:rPr>
            </w:pPr>
            <w:r w:rsidRPr="007466EF">
              <w:rPr>
                <w:sz w:val="16"/>
                <w:szCs w:val="16"/>
              </w:rPr>
              <w:t>168.916.000,00</w:t>
            </w:r>
          </w:p>
        </w:tc>
        <w:tc>
          <w:tcPr>
            <w:tcW w:w="1540" w:type="dxa"/>
            <w:tcBorders>
              <w:top w:val="single" w:sz="4" w:space="0" w:color="auto"/>
              <w:left w:val="nil"/>
              <w:bottom w:val="nil"/>
              <w:right w:val="single" w:sz="4" w:space="0" w:color="auto"/>
            </w:tcBorders>
            <w:shd w:val="clear" w:color="auto" w:fill="auto"/>
            <w:vAlign w:val="center"/>
            <w:hideMark/>
          </w:tcPr>
          <w:p w14:paraId="3E8BF0FB" w14:textId="77777777" w:rsidR="001B4284" w:rsidRPr="007466EF" w:rsidRDefault="001B4284" w:rsidP="001B4284">
            <w:pPr>
              <w:jc w:val="right"/>
              <w:rPr>
                <w:sz w:val="16"/>
                <w:szCs w:val="16"/>
              </w:rPr>
            </w:pPr>
            <w:r w:rsidRPr="007466EF">
              <w:rPr>
                <w:sz w:val="16"/>
                <w:szCs w:val="16"/>
              </w:rPr>
              <w:t>168.916.000,00</w:t>
            </w:r>
          </w:p>
        </w:tc>
      </w:tr>
      <w:tr w:rsidR="001B4284" w:rsidRPr="007466EF" w14:paraId="10177523" w14:textId="77777777" w:rsidTr="000F0D22">
        <w:trPr>
          <w:trHeight w:val="285"/>
          <w:jc w:val="center"/>
        </w:trPr>
        <w:tc>
          <w:tcPr>
            <w:tcW w:w="2612" w:type="dxa"/>
            <w:gridSpan w:val="2"/>
            <w:vMerge w:val="restart"/>
            <w:tcBorders>
              <w:top w:val="double" w:sz="6" w:space="0" w:color="auto"/>
              <w:left w:val="double" w:sz="6" w:space="0" w:color="auto"/>
              <w:bottom w:val="double" w:sz="6" w:space="0" w:color="000000"/>
              <w:right w:val="double" w:sz="6" w:space="0" w:color="000000"/>
            </w:tcBorders>
            <w:shd w:val="clear" w:color="auto" w:fill="auto"/>
            <w:noWrap/>
            <w:vAlign w:val="center"/>
            <w:hideMark/>
          </w:tcPr>
          <w:p w14:paraId="74D79176" w14:textId="77777777" w:rsidR="001B4284" w:rsidRPr="007466EF" w:rsidRDefault="001B4284" w:rsidP="001B4284">
            <w:pPr>
              <w:jc w:val="center"/>
              <w:rPr>
                <w:b/>
                <w:bCs/>
                <w:sz w:val="20"/>
                <w:szCs w:val="20"/>
              </w:rPr>
            </w:pPr>
            <w:r w:rsidRPr="007466EF">
              <w:rPr>
                <w:b/>
                <w:bCs/>
                <w:sz w:val="20"/>
                <w:szCs w:val="20"/>
              </w:rPr>
              <w:t>UKUPNO</w:t>
            </w:r>
          </w:p>
        </w:tc>
        <w:tc>
          <w:tcPr>
            <w:tcW w:w="1960" w:type="dxa"/>
            <w:tcBorders>
              <w:top w:val="double" w:sz="6" w:space="0" w:color="auto"/>
              <w:left w:val="nil"/>
              <w:bottom w:val="double" w:sz="6" w:space="0" w:color="auto"/>
              <w:right w:val="nil"/>
            </w:tcBorders>
            <w:shd w:val="clear" w:color="auto" w:fill="auto"/>
            <w:noWrap/>
            <w:vAlign w:val="center"/>
            <w:hideMark/>
          </w:tcPr>
          <w:p w14:paraId="0CF460F1" w14:textId="77777777" w:rsidR="001B4284" w:rsidRPr="007466EF" w:rsidRDefault="001B4284" w:rsidP="001B4284">
            <w:pPr>
              <w:jc w:val="center"/>
              <w:rPr>
                <w:b/>
                <w:bCs/>
                <w:sz w:val="20"/>
                <w:szCs w:val="20"/>
              </w:rPr>
            </w:pPr>
            <w:r w:rsidRPr="007466EF">
              <w:rPr>
                <w:b/>
                <w:bCs/>
                <w:sz w:val="20"/>
                <w:szCs w:val="20"/>
              </w:rPr>
              <w:t>USD</w:t>
            </w:r>
          </w:p>
        </w:tc>
        <w:tc>
          <w:tcPr>
            <w:tcW w:w="154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637C7CF" w14:textId="77777777" w:rsidR="001B4284" w:rsidRPr="007466EF" w:rsidRDefault="001B4284" w:rsidP="001B4284">
            <w:pPr>
              <w:jc w:val="right"/>
              <w:rPr>
                <w:sz w:val="20"/>
                <w:szCs w:val="20"/>
              </w:rPr>
            </w:pPr>
            <w:r w:rsidRPr="007466EF">
              <w:rPr>
                <w:sz w:val="20"/>
                <w:szCs w:val="20"/>
              </w:rPr>
              <w:t>75.034.562,95</w:t>
            </w:r>
          </w:p>
        </w:tc>
        <w:tc>
          <w:tcPr>
            <w:tcW w:w="1540" w:type="dxa"/>
            <w:tcBorders>
              <w:top w:val="double" w:sz="6" w:space="0" w:color="auto"/>
              <w:left w:val="nil"/>
              <w:bottom w:val="double" w:sz="6" w:space="0" w:color="auto"/>
              <w:right w:val="double" w:sz="6" w:space="0" w:color="auto"/>
            </w:tcBorders>
            <w:shd w:val="clear" w:color="auto" w:fill="auto"/>
            <w:noWrap/>
            <w:vAlign w:val="center"/>
            <w:hideMark/>
          </w:tcPr>
          <w:p w14:paraId="74F903E6" w14:textId="77777777" w:rsidR="001B4284" w:rsidRPr="007466EF" w:rsidRDefault="001B4284" w:rsidP="001B4284">
            <w:pPr>
              <w:jc w:val="right"/>
              <w:rPr>
                <w:sz w:val="20"/>
                <w:szCs w:val="20"/>
              </w:rPr>
            </w:pPr>
            <w:r w:rsidRPr="007466EF">
              <w:rPr>
                <w:sz w:val="20"/>
                <w:szCs w:val="20"/>
              </w:rPr>
              <w:t>71.844.660,04</w:t>
            </w:r>
          </w:p>
        </w:tc>
      </w:tr>
      <w:tr w:rsidR="001B4284" w:rsidRPr="007466EF" w14:paraId="27E10BF9" w14:textId="77777777" w:rsidTr="000F0D22">
        <w:trPr>
          <w:trHeight w:val="285"/>
          <w:jc w:val="center"/>
        </w:trPr>
        <w:tc>
          <w:tcPr>
            <w:tcW w:w="2612" w:type="dxa"/>
            <w:gridSpan w:val="2"/>
            <w:vMerge/>
            <w:tcBorders>
              <w:top w:val="double" w:sz="6" w:space="0" w:color="auto"/>
              <w:left w:val="double" w:sz="6" w:space="0" w:color="auto"/>
              <w:bottom w:val="double" w:sz="6" w:space="0" w:color="000000"/>
              <w:right w:val="double" w:sz="6" w:space="0" w:color="000000"/>
            </w:tcBorders>
            <w:vAlign w:val="center"/>
            <w:hideMark/>
          </w:tcPr>
          <w:p w14:paraId="6EF56673" w14:textId="77777777" w:rsidR="001B4284" w:rsidRPr="007466EF" w:rsidRDefault="001B4284" w:rsidP="001B4284">
            <w:pPr>
              <w:rPr>
                <w:b/>
                <w:bCs/>
                <w:sz w:val="20"/>
                <w:szCs w:val="20"/>
              </w:rPr>
            </w:pPr>
          </w:p>
        </w:tc>
        <w:tc>
          <w:tcPr>
            <w:tcW w:w="1960" w:type="dxa"/>
            <w:tcBorders>
              <w:top w:val="nil"/>
              <w:left w:val="nil"/>
              <w:bottom w:val="double" w:sz="6" w:space="0" w:color="auto"/>
              <w:right w:val="nil"/>
            </w:tcBorders>
            <w:shd w:val="clear" w:color="auto" w:fill="auto"/>
            <w:noWrap/>
            <w:vAlign w:val="center"/>
            <w:hideMark/>
          </w:tcPr>
          <w:p w14:paraId="57684675" w14:textId="77777777" w:rsidR="001B4284" w:rsidRPr="007466EF" w:rsidRDefault="001B4284" w:rsidP="001B4284">
            <w:pPr>
              <w:jc w:val="center"/>
              <w:rPr>
                <w:b/>
                <w:bCs/>
                <w:sz w:val="20"/>
                <w:szCs w:val="20"/>
              </w:rPr>
            </w:pPr>
            <w:r w:rsidRPr="007466EF">
              <w:rPr>
                <w:b/>
                <w:bCs/>
                <w:sz w:val="20"/>
                <w:szCs w:val="20"/>
              </w:rPr>
              <w:t>EUR</w:t>
            </w:r>
          </w:p>
        </w:tc>
        <w:tc>
          <w:tcPr>
            <w:tcW w:w="1540" w:type="dxa"/>
            <w:tcBorders>
              <w:top w:val="nil"/>
              <w:left w:val="double" w:sz="6" w:space="0" w:color="auto"/>
              <w:bottom w:val="double" w:sz="6" w:space="0" w:color="auto"/>
              <w:right w:val="double" w:sz="6" w:space="0" w:color="auto"/>
            </w:tcBorders>
            <w:shd w:val="clear" w:color="auto" w:fill="auto"/>
            <w:noWrap/>
            <w:vAlign w:val="center"/>
            <w:hideMark/>
          </w:tcPr>
          <w:p w14:paraId="5663D9EF" w14:textId="77777777" w:rsidR="001B4284" w:rsidRPr="007466EF" w:rsidRDefault="001B4284" w:rsidP="001B4284">
            <w:pPr>
              <w:jc w:val="right"/>
              <w:rPr>
                <w:sz w:val="20"/>
                <w:szCs w:val="20"/>
              </w:rPr>
            </w:pPr>
            <w:r w:rsidRPr="007466EF">
              <w:rPr>
                <w:sz w:val="20"/>
                <w:szCs w:val="20"/>
              </w:rPr>
              <w:t>291.201.452,50</w:t>
            </w:r>
          </w:p>
        </w:tc>
        <w:tc>
          <w:tcPr>
            <w:tcW w:w="1540" w:type="dxa"/>
            <w:tcBorders>
              <w:top w:val="nil"/>
              <w:left w:val="nil"/>
              <w:bottom w:val="double" w:sz="6" w:space="0" w:color="auto"/>
              <w:right w:val="double" w:sz="6" w:space="0" w:color="auto"/>
            </w:tcBorders>
            <w:shd w:val="clear" w:color="auto" w:fill="auto"/>
            <w:noWrap/>
            <w:vAlign w:val="center"/>
            <w:hideMark/>
          </w:tcPr>
          <w:p w14:paraId="4FAC8116" w14:textId="77777777" w:rsidR="001B4284" w:rsidRPr="007466EF" w:rsidRDefault="001B4284" w:rsidP="001B4284">
            <w:pPr>
              <w:jc w:val="right"/>
              <w:rPr>
                <w:sz w:val="20"/>
                <w:szCs w:val="20"/>
              </w:rPr>
            </w:pPr>
            <w:r w:rsidRPr="007466EF">
              <w:rPr>
                <w:sz w:val="20"/>
                <w:szCs w:val="20"/>
              </w:rPr>
              <w:t>291.201.452,50</w:t>
            </w:r>
          </w:p>
        </w:tc>
      </w:tr>
      <w:tr w:rsidR="001B4284" w:rsidRPr="007466EF" w14:paraId="4BB5EA93" w14:textId="77777777" w:rsidTr="000F0D22">
        <w:trPr>
          <w:trHeight w:val="285"/>
          <w:jc w:val="center"/>
        </w:trPr>
        <w:tc>
          <w:tcPr>
            <w:tcW w:w="6112" w:type="dxa"/>
            <w:gridSpan w:val="4"/>
            <w:tcBorders>
              <w:top w:val="double" w:sz="6" w:space="0" w:color="auto"/>
              <w:left w:val="double" w:sz="6" w:space="0" w:color="auto"/>
              <w:bottom w:val="double" w:sz="6" w:space="0" w:color="000000"/>
              <w:right w:val="double" w:sz="6" w:space="0" w:color="auto"/>
            </w:tcBorders>
            <w:vAlign w:val="center"/>
          </w:tcPr>
          <w:p w14:paraId="7F952745" w14:textId="77777777" w:rsidR="001B4284" w:rsidRPr="007466EF" w:rsidRDefault="001B4284" w:rsidP="001B4284">
            <w:pPr>
              <w:jc w:val="center"/>
              <w:rPr>
                <w:b/>
                <w:sz w:val="20"/>
                <w:szCs w:val="20"/>
              </w:rPr>
            </w:pPr>
            <w:r w:rsidRPr="007466EF">
              <w:rPr>
                <w:b/>
                <w:sz w:val="20"/>
                <w:szCs w:val="20"/>
              </w:rPr>
              <w:t>Ukupno stanje na dan 31. prosinca 2023. u eurima</w:t>
            </w:r>
          </w:p>
        </w:tc>
        <w:tc>
          <w:tcPr>
            <w:tcW w:w="1540" w:type="dxa"/>
            <w:tcBorders>
              <w:top w:val="nil"/>
              <w:left w:val="nil"/>
              <w:bottom w:val="double" w:sz="6" w:space="0" w:color="auto"/>
              <w:right w:val="double" w:sz="6" w:space="0" w:color="auto"/>
            </w:tcBorders>
            <w:shd w:val="clear" w:color="auto" w:fill="auto"/>
            <w:noWrap/>
            <w:vAlign w:val="center"/>
          </w:tcPr>
          <w:p w14:paraId="18107DC7" w14:textId="77777777" w:rsidR="001B4284" w:rsidRPr="007466EF" w:rsidRDefault="001B4284" w:rsidP="001B4284">
            <w:pPr>
              <w:jc w:val="right"/>
              <w:rPr>
                <w:b/>
                <w:sz w:val="20"/>
                <w:szCs w:val="20"/>
              </w:rPr>
            </w:pPr>
            <w:r w:rsidRPr="007466EF">
              <w:rPr>
                <w:b/>
                <w:sz w:val="20"/>
                <w:szCs w:val="20"/>
              </w:rPr>
              <w:t>363.046.112,54</w:t>
            </w:r>
          </w:p>
        </w:tc>
      </w:tr>
    </w:tbl>
    <w:p w14:paraId="1CF4D47C" w14:textId="77777777" w:rsidR="001B4284" w:rsidRPr="00FB0E6E" w:rsidRDefault="001B4284" w:rsidP="00FB0E6E">
      <w:pPr>
        <w:jc w:val="both"/>
      </w:pPr>
    </w:p>
    <w:p w14:paraId="77884CAB" w14:textId="77777777" w:rsidR="001B4284" w:rsidRPr="007466EF" w:rsidRDefault="001B4284" w:rsidP="001B4284">
      <w:pPr>
        <w:keepNext/>
        <w:jc w:val="center"/>
        <w:rPr>
          <w:sz w:val="28"/>
        </w:rPr>
      </w:pPr>
      <w:r w:rsidRPr="007466EF">
        <w:rPr>
          <w:sz w:val="28"/>
        </w:rPr>
        <w:t>Bilješka 13.</w:t>
      </w:r>
    </w:p>
    <w:p w14:paraId="42F24218" w14:textId="77777777" w:rsidR="001B4284" w:rsidRPr="007466EF" w:rsidRDefault="001B4284" w:rsidP="001B4284">
      <w:pPr>
        <w:keepNext/>
        <w:jc w:val="center"/>
        <w:rPr>
          <w:sz w:val="28"/>
        </w:rPr>
      </w:pPr>
      <w:r w:rsidRPr="007466EF">
        <w:rPr>
          <w:sz w:val="28"/>
        </w:rPr>
        <w:t>Šifra 1541 Dionice i udjeli u glavnici trgovačkih društava izvan javnog sektora</w:t>
      </w:r>
    </w:p>
    <w:p w14:paraId="62DE63DD" w14:textId="77777777" w:rsidR="001B4284" w:rsidRPr="007466EF" w:rsidRDefault="001B4284" w:rsidP="001B4284">
      <w:pPr>
        <w:jc w:val="both"/>
      </w:pPr>
      <w:r w:rsidRPr="007466EF">
        <w:t>Dionice i udjeli u trgovačkih društava izvan javnog sektora na dan 31. prosinca 2024. iskazane su u iznosu od 1.334.639,33 eura, dok su na dan 1. siječnja 2024. iskazane u iznosu od 14.594.996,35 eura te bilježe smanjenje od 90,9% u promatranom razdoblju.</w:t>
      </w:r>
    </w:p>
    <w:p w14:paraId="08AA0AA0" w14:textId="77777777" w:rsidR="001B4284" w:rsidRPr="007466EF" w:rsidRDefault="001B4284" w:rsidP="001B4284">
      <w:pPr>
        <w:jc w:val="both"/>
      </w:pPr>
    </w:p>
    <w:p w14:paraId="7E6660D5" w14:textId="77777777" w:rsidR="001B4284" w:rsidRPr="007466EF" w:rsidRDefault="001B4284" w:rsidP="001B4284">
      <w:pPr>
        <w:shd w:val="clear" w:color="auto" w:fill="FFFFFF"/>
        <w:jc w:val="both"/>
        <w:rPr>
          <w:color w:val="000000"/>
        </w:rPr>
      </w:pPr>
      <w:r w:rsidRPr="007466EF">
        <w:rPr>
          <w:color w:val="000000"/>
        </w:rPr>
        <w:t xml:space="preserve">Tijekom 2024. Ministarstvo financija je stečene udjele u temeljnom kapitalu trgovačkih društava, Društva 1 i Društva 2 (čiji podaci su klasificirani podaci sukladno Zakonu o tajnosti podataka kojim se uređuje pojam klasificiranih i neklasificiranih podataka), u ukupnom iznosu od 14.594.996,35 eura prenijelo na upravljanje i raspolaganje Centru za restrukturiranje i </w:t>
      </w:r>
      <w:r w:rsidRPr="007466EF">
        <w:rPr>
          <w:color w:val="000000"/>
        </w:rPr>
        <w:lastRenderedPageBreak/>
        <w:t>prodaju što je utjecalo na smanjenje stanja dionica i udjela</w:t>
      </w:r>
      <w:r w:rsidRPr="007466EF">
        <w:t xml:space="preserve"> </w:t>
      </w:r>
      <w:r w:rsidRPr="007466EF">
        <w:rPr>
          <w:color w:val="000000"/>
        </w:rPr>
        <w:t>u glavnici trgovačkih društava izvan javnog sektora u 2024.</w:t>
      </w:r>
    </w:p>
    <w:p w14:paraId="389DBADF" w14:textId="77777777" w:rsidR="001B4284" w:rsidRPr="007466EF" w:rsidRDefault="001B4284" w:rsidP="001B4284">
      <w:pPr>
        <w:shd w:val="clear" w:color="auto" w:fill="FFFFFF"/>
        <w:jc w:val="both"/>
        <w:rPr>
          <w:color w:val="000000"/>
        </w:rPr>
      </w:pPr>
    </w:p>
    <w:p w14:paraId="1616E1A5" w14:textId="1CC5952A" w:rsidR="001B4284" w:rsidRPr="007466EF" w:rsidRDefault="001B4284" w:rsidP="001B4284">
      <w:pPr>
        <w:shd w:val="clear" w:color="auto" w:fill="FFFFFF"/>
        <w:jc w:val="both"/>
      </w:pPr>
      <w:r w:rsidRPr="007466EF">
        <w:rPr>
          <w:color w:val="000000"/>
        </w:rPr>
        <w:t xml:space="preserve">Također, u 2024. Ministarstvo financija i društvo HELIOS FAROS d.d. zaključili su 8. srpnja 2024. Ugovor o unosu prava – tražbina radi povećanja temeljnog kapitala dioničkog društva iz odobrenog temeljnog kapitala. Naime, </w:t>
      </w:r>
      <w:r w:rsidRPr="007466EF">
        <w:t>22. srpnja 2019. zaključen je stečajni postupak nad društvom HELIOS FAROS d.d. u stečaju te je prihvaćen Stečajni plan kojim se Ministarstvo financija novčano namirilo u 2019. u visini glavnice, a nenovčano namirenje zatezne kamate u iznosu do 100.558.400,00 kuna provelo se u 2024. uručenjem do najviše 1.005.584 komada dionica, svaka u nominalnom iznosu od 10,00 kuna, a u ukupnom nominalnom iznosu do najviše 10.055.840,00 kuna (</w:t>
      </w:r>
      <w:r w:rsidR="00D058BB" w:rsidRPr="00D058BB">
        <w:t xml:space="preserve">1.334.639,33 </w:t>
      </w:r>
      <w:r w:rsidRPr="007466EF">
        <w:t xml:space="preserve">EUR) u skladu s Rješenjem o potvrdi stečajnog plana, prijebojem potraživanja s osnova izdanih i protestiranih državnih jamstava s dionicama trgovačkog društva HELIOS FAROS d.d. u stečaju. Temeljem zaključenog Ugovora o unosu prava – tražbina radi povećanja temeljnog kapitala dioničkog društva iz odobrenog temeljnog kapitala, Republika Hrvatska – Ministarstvo financija unijelo je u temeljni kapital dioničkog društva HELIOS FAROS d.d. pravo -  tražbinu u nominalnom iznosu od </w:t>
      </w:r>
      <w:r w:rsidR="00D058BB" w:rsidRPr="00D058BB">
        <w:t xml:space="preserve">1.334.639,33 </w:t>
      </w:r>
      <w:r w:rsidRPr="007466EF">
        <w:t>eura, i steklo nove redovne dionice bez nominalne vrijednosti dioničkog društva HELIOS FAROS d.d., u broju od 1.005.584  komada, u nominalnom iznosu od 1.334.639,33 eura.</w:t>
      </w:r>
    </w:p>
    <w:p w14:paraId="06DB283F" w14:textId="77777777" w:rsidR="001B4284" w:rsidRPr="00FB0E6E" w:rsidRDefault="001B4284" w:rsidP="00FB0E6E">
      <w:pPr>
        <w:jc w:val="both"/>
      </w:pPr>
    </w:p>
    <w:p w14:paraId="20A3C04C" w14:textId="77777777" w:rsidR="001B4284" w:rsidRPr="007466EF" w:rsidRDefault="001B4284" w:rsidP="001B4284">
      <w:pPr>
        <w:keepNext/>
        <w:jc w:val="center"/>
        <w:rPr>
          <w:sz w:val="28"/>
        </w:rPr>
      </w:pPr>
      <w:r w:rsidRPr="007466EF">
        <w:rPr>
          <w:sz w:val="28"/>
        </w:rPr>
        <w:t>Bilješka 14.</w:t>
      </w:r>
    </w:p>
    <w:p w14:paraId="4514DB0E" w14:textId="77777777" w:rsidR="001B4284" w:rsidRPr="007466EF" w:rsidRDefault="001B4284" w:rsidP="001B4284">
      <w:pPr>
        <w:keepNext/>
        <w:jc w:val="center"/>
        <w:rPr>
          <w:sz w:val="28"/>
        </w:rPr>
      </w:pPr>
      <w:r w:rsidRPr="007466EF">
        <w:rPr>
          <w:sz w:val="28"/>
        </w:rPr>
        <w:t>Šifra 1637 Potraživanja za povrat pomoći danih unutar općeg proračuna po protestiranim jamstvima</w:t>
      </w:r>
    </w:p>
    <w:p w14:paraId="4C2491CF" w14:textId="77777777" w:rsidR="001B4284" w:rsidRPr="007466EF" w:rsidRDefault="001B4284" w:rsidP="001B4284">
      <w:pPr>
        <w:jc w:val="both"/>
      </w:pPr>
      <w:r w:rsidRPr="007466EF">
        <w:t>Potraživanja za povrat pomoći danih unutar općeg proračuna po protestiranim jamstvima na dan 31. prosinca 2024. iskazana su u iznosu od 225.424.669,03 eura i odnose se na:</w:t>
      </w:r>
    </w:p>
    <w:p w14:paraId="31FA975B" w14:textId="77777777" w:rsidR="001B4284" w:rsidRPr="007466EF" w:rsidRDefault="001B4284" w:rsidP="001B4284">
      <w:pPr>
        <w:numPr>
          <w:ilvl w:val="0"/>
          <w:numId w:val="25"/>
        </w:numPr>
        <w:contextualSpacing/>
        <w:jc w:val="both"/>
      </w:pPr>
      <w:r w:rsidRPr="007466EF">
        <w:t>potraživanja za povrat pomoći danih izvanproračunskim korisnicima državnog proračuna po protestiranim jamstvima odnosi iznos od 225.274.459,50 eura (HŽ Infrastrukturu d.o.o. 223.234.070,05 eura, HŽ Putnički prijevoz d.o.o. 2.040.389,45 eura),</w:t>
      </w:r>
    </w:p>
    <w:p w14:paraId="758D39C6" w14:textId="77777777" w:rsidR="001B4284" w:rsidRPr="007466EF" w:rsidRDefault="001B4284" w:rsidP="001B4284">
      <w:pPr>
        <w:numPr>
          <w:ilvl w:val="0"/>
          <w:numId w:val="25"/>
        </w:numPr>
        <w:contextualSpacing/>
        <w:jc w:val="both"/>
      </w:pPr>
      <w:r w:rsidRPr="007466EF">
        <w:t>potraživanja za zajmove dane drugim razinama vlasti po protestiranim jamstvima za Općinu Krapinske Toplice u iznosu od 5.388,64 eura i Općinu Novigrad Podravski u iznosu od 144.820,89 eura.</w:t>
      </w:r>
    </w:p>
    <w:p w14:paraId="45EE5837" w14:textId="77777777" w:rsidR="001B4284" w:rsidRPr="007466EF" w:rsidRDefault="001B4284" w:rsidP="001B4284">
      <w:pPr>
        <w:jc w:val="both"/>
      </w:pPr>
    </w:p>
    <w:p w14:paraId="63BB1669" w14:textId="77777777" w:rsidR="001B4284" w:rsidRPr="007466EF" w:rsidRDefault="001B4284" w:rsidP="001B4284">
      <w:pPr>
        <w:widowControl w:val="0"/>
        <w:jc w:val="center"/>
        <w:rPr>
          <w:sz w:val="28"/>
        </w:rPr>
      </w:pPr>
      <w:r w:rsidRPr="007466EF">
        <w:rPr>
          <w:sz w:val="28"/>
        </w:rPr>
        <w:t>Bilješka 15.</w:t>
      </w:r>
    </w:p>
    <w:p w14:paraId="1B57B195" w14:textId="77777777" w:rsidR="001B4284" w:rsidRPr="007466EF" w:rsidRDefault="001B4284" w:rsidP="001B4284">
      <w:pPr>
        <w:widowControl w:val="0"/>
        <w:jc w:val="center"/>
        <w:rPr>
          <w:sz w:val="28"/>
        </w:rPr>
      </w:pPr>
      <w:r w:rsidRPr="007466EF">
        <w:rPr>
          <w:sz w:val="28"/>
        </w:rPr>
        <w:t>Šifra 164 Potraživanja za prihode od imovine</w:t>
      </w:r>
    </w:p>
    <w:p w14:paraId="0E446923" w14:textId="77777777" w:rsidR="001B4284" w:rsidRPr="007466EF" w:rsidRDefault="001B4284" w:rsidP="001B4284">
      <w:pPr>
        <w:widowControl w:val="0"/>
        <w:jc w:val="both"/>
      </w:pPr>
      <w:r w:rsidRPr="007466EF">
        <w:t xml:space="preserve">Potraživanja za prihode od imovine na dan 31. prosinca 2024. iskazana su u iznosu od 268.993.929,49 eura i bilježe povećanje od 3,6% u odnosu na stanje na dan 1. siječnja 2024. Najznačajniji potraživanja za prihode od imovine sa stanjem na dan 31. prosinca 2024. odnose se na: </w:t>
      </w:r>
    </w:p>
    <w:p w14:paraId="71822C8B" w14:textId="77777777" w:rsidR="001B4284" w:rsidRPr="007466EF" w:rsidRDefault="001B4284" w:rsidP="001B4284">
      <w:pPr>
        <w:widowControl w:val="0"/>
        <w:numPr>
          <w:ilvl w:val="0"/>
          <w:numId w:val="26"/>
        </w:numPr>
        <w:tabs>
          <w:tab w:val="decimal" w:pos="8820"/>
        </w:tabs>
        <w:jc w:val="both"/>
      </w:pPr>
      <w:r w:rsidRPr="007466EF">
        <w:t xml:space="preserve">potraživanja za zatezne kamate po danim zajmovima bivšeg Fonda za razvoj i zapošljavanje u iznosu od 10.444.518,39 eura, </w:t>
      </w:r>
    </w:p>
    <w:p w14:paraId="29F3BF9E" w14:textId="77777777" w:rsidR="001B4284" w:rsidRPr="007466EF" w:rsidRDefault="001B4284" w:rsidP="001B4284">
      <w:pPr>
        <w:widowControl w:val="0"/>
        <w:numPr>
          <w:ilvl w:val="0"/>
          <w:numId w:val="26"/>
        </w:numPr>
        <w:jc w:val="both"/>
      </w:pPr>
      <w:r w:rsidRPr="007466EF">
        <w:t xml:space="preserve">potraživanja za kamate po danim zajmovima bivšeg Fonda za razvoj i zapošljavanje tuzemnim trgovačkim društvima i obrtima u iznosu od 5.956.268,14 eura, </w:t>
      </w:r>
    </w:p>
    <w:p w14:paraId="070AD244" w14:textId="77777777" w:rsidR="001B4284" w:rsidRPr="007466EF" w:rsidRDefault="001B4284" w:rsidP="001B4284">
      <w:pPr>
        <w:widowControl w:val="0"/>
        <w:numPr>
          <w:ilvl w:val="0"/>
          <w:numId w:val="26"/>
        </w:numPr>
        <w:tabs>
          <w:tab w:val="decimal" w:pos="8820"/>
        </w:tabs>
        <w:jc w:val="both"/>
      </w:pPr>
      <w:r w:rsidRPr="007466EF">
        <w:t>potraživanje od Republike Sudan u iznosu od 29.401.570,28 eura,</w:t>
      </w:r>
    </w:p>
    <w:p w14:paraId="45312137" w14:textId="77777777" w:rsidR="001B4284" w:rsidRPr="007466EF" w:rsidRDefault="001B4284" w:rsidP="001B4284">
      <w:pPr>
        <w:widowControl w:val="0"/>
        <w:numPr>
          <w:ilvl w:val="0"/>
          <w:numId w:val="26"/>
        </w:numPr>
        <w:tabs>
          <w:tab w:val="decimal" w:pos="8820"/>
        </w:tabs>
        <w:jc w:val="both"/>
      </w:pPr>
      <w:r w:rsidRPr="007466EF">
        <w:t xml:space="preserve">potraživanja za prihode od kamata na dane zajmove društvima Hrvatske autoceste d.o.o., Autocesta Rijeka - Zagreb u iznosu od 62.513.275,89 eura, </w:t>
      </w:r>
    </w:p>
    <w:p w14:paraId="08D422C3" w14:textId="77777777" w:rsidR="001B4284" w:rsidRPr="007466EF" w:rsidRDefault="001B4284" w:rsidP="001B4284">
      <w:pPr>
        <w:widowControl w:val="0"/>
        <w:numPr>
          <w:ilvl w:val="0"/>
          <w:numId w:val="26"/>
        </w:numPr>
        <w:tabs>
          <w:tab w:val="decimal" w:pos="8820"/>
        </w:tabs>
        <w:jc w:val="both"/>
      </w:pPr>
      <w:r w:rsidRPr="007466EF">
        <w:t>potraživanja za prihode od kamata na dane zajmove po protestiranim jamstvima u iznosu od 159.261.852,01 eura.</w:t>
      </w:r>
    </w:p>
    <w:p w14:paraId="06BD9A9A" w14:textId="7E90D2B4" w:rsidR="00AC385C" w:rsidRPr="007466EF" w:rsidRDefault="00AC385C" w:rsidP="00AC385C">
      <w:pPr>
        <w:widowControl w:val="0"/>
        <w:tabs>
          <w:tab w:val="decimal" w:pos="8820"/>
        </w:tabs>
        <w:jc w:val="both"/>
      </w:pPr>
    </w:p>
    <w:p w14:paraId="388DFDF2" w14:textId="77777777" w:rsidR="007466EF" w:rsidRPr="007466EF" w:rsidRDefault="00AC385C" w:rsidP="00240F31">
      <w:pPr>
        <w:widowControl w:val="0"/>
        <w:tabs>
          <w:tab w:val="decimal" w:pos="8820"/>
        </w:tabs>
        <w:jc w:val="both"/>
      </w:pPr>
      <w:r w:rsidRPr="007466EF">
        <w:t xml:space="preserve">U okviru potraživanja za zatezne kamate Ministarstvo financija je na dan 1. siječnja 2024. u </w:t>
      </w:r>
      <w:r w:rsidRPr="007466EF">
        <w:lastRenderedPageBreak/>
        <w:t xml:space="preserve">poslovnim knjigama imalo iskazano potraživanje prema društvu HELIOS FAROS d.d. u stečaju na ime zateznih kamata 100.558.447,63 kuna, a s osnova izdanih i protestiranih državnih jamstava te je svoju ukupnu tražbinu u iznosu od 154.427.529,14 kuna </w:t>
      </w:r>
      <w:r w:rsidR="00D64E32" w:rsidRPr="007466EF">
        <w:t xml:space="preserve">odnosno 13.346.393,26 eura </w:t>
      </w:r>
      <w:r w:rsidRPr="007466EF">
        <w:t>prijavilo u stečajni postupak (glavnica je iznosila 53.869.081,51 kuna i zatezna kamata 100.558.447,63 kuna). U</w:t>
      </w:r>
      <w:r w:rsidRPr="007466EF">
        <w:rPr>
          <w:color w:val="000000"/>
        </w:rPr>
        <w:t xml:space="preserve"> 2024. Ministarstvo financija i društvo HELIOS FAROS d.d. zaključili su 8. srpnja 2024. Ugovor o unosu prava – tražbina radi povećanja temeljnog kapitala dioničkog društva iz odobrenog temeljnog kapitala. Naime, </w:t>
      </w:r>
      <w:r w:rsidRPr="007466EF">
        <w:t>22. srpnja 2019. zaključen je stečajni postupak nad društvom HELIOS FAROS d.d. u stečaju te je prihvaćen Stečajni plan kojim se Ministarstvo financija novčano namirilo u 2019. u visini glavnice, a nenovčano namirenje zatezne kamate u iznosu do 100.558.400,00 kuna provelo se u 2024. uručenjem do najviše 1.005.584 komada dionica, svaka u nominalnom iznosu od 10,00 kuna, a u ukupnom nominalnom iznosu do najviše 10.055.840,00 kuna (13.346.399,58 EUR) u skladu s Rješenjem o potvrdi stečajnog plana, prijebojem potraživanja s osnova izdanih i protestiranih državnih jamstava s dionicama trgovačkog društva HELIOS FAROS d.d. u stečaju. Temeljem zaključenog Ugovora o unosu prava – tražbina radi povećanja temeljnog kapitala dioničkog društva iz odobrenog temeljnog kapitala, Republika Hrvatska – Ministarstvo financija unijelo je u temeljni kapital dioničkog društva HELIOS FAROS d.d. pravo -  tražbinu u nominalnom iznosu od 13.346.393,26 eura, i steklo nove redovne dionice bez nominalne vrijednosti dioničkog društva HELIOS FAROS d.d., u broju od 1.005.584  komada, u nominalnom iznosu od 1.334.639,33 eura.</w:t>
      </w:r>
      <w:r w:rsidR="00240F31" w:rsidRPr="007466EF">
        <w:t xml:space="preserve"> </w:t>
      </w:r>
    </w:p>
    <w:p w14:paraId="2EE8F95C" w14:textId="1DA0B009" w:rsidR="00D64E32" w:rsidRPr="007466EF" w:rsidRDefault="00AC385C" w:rsidP="00240F31">
      <w:pPr>
        <w:widowControl w:val="0"/>
        <w:tabs>
          <w:tab w:val="decimal" w:pos="8820"/>
        </w:tabs>
        <w:jc w:val="both"/>
      </w:pPr>
      <w:r w:rsidRPr="007466EF">
        <w:t xml:space="preserve">S obzirom da je Ministarstvo financija moglo svoja potraživanja namiriti </w:t>
      </w:r>
      <w:r w:rsidR="00D64E32" w:rsidRPr="007466EF">
        <w:t>stjecanjem do najviše 1.005.584 komada dionica (bez nominalne vrijednosti), u ukupnom nominalnom iznosu od 1.334.639,33 eura</w:t>
      </w:r>
      <w:r w:rsidRPr="007466EF">
        <w:t xml:space="preserve">, </w:t>
      </w:r>
      <w:r w:rsidR="00D64E32" w:rsidRPr="007466EF">
        <w:t>za preostali iznos potraživanja</w:t>
      </w:r>
      <w:r w:rsidRPr="007466EF">
        <w:t xml:space="preserve"> prema društvu HELIOS FAROS d.d. u stečaju</w:t>
      </w:r>
      <w:r w:rsidR="00D64E32" w:rsidRPr="007466EF">
        <w:t xml:space="preserve"> u iznosu od 12.011.760,25 eura proveden je otpis.</w:t>
      </w:r>
    </w:p>
    <w:p w14:paraId="728C3F69" w14:textId="77777777" w:rsidR="00AC385C" w:rsidRPr="007466EF" w:rsidRDefault="00AC385C" w:rsidP="00FB0E6E">
      <w:pPr>
        <w:jc w:val="both"/>
      </w:pPr>
    </w:p>
    <w:p w14:paraId="198EDF6C" w14:textId="77777777" w:rsidR="001B4284" w:rsidRPr="007466EF" w:rsidRDefault="001B4284" w:rsidP="001B4284">
      <w:pPr>
        <w:keepNext/>
        <w:jc w:val="center"/>
        <w:rPr>
          <w:sz w:val="28"/>
        </w:rPr>
      </w:pPr>
      <w:r w:rsidRPr="007466EF">
        <w:rPr>
          <w:sz w:val="28"/>
        </w:rPr>
        <w:t>Bilješka 16.</w:t>
      </w:r>
    </w:p>
    <w:p w14:paraId="191DF96B" w14:textId="77777777" w:rsidR="001B4284" w:rsidRPr="007466EF" w:rsidRDefault="001B4284" w:rsidP="001B4284">
      <w:pPr>
        <w:keepNext/>
        <w:jc w:val="center"/>
        <w:rPr>
          <w:sz w:val="28"/>
        </w:rPr>
      </w:pPr>
      <w:r w:rsidRPr="007466EF">
        <w:rPr>
          <w:sz w:val="28"/>
        </w:rPr>
        <w:t>Šifra 165 Potraživanja za upravne i administrativne pristojbe, pristojbe po posebnim propisima i naknade</w:t>
      </w:r>
    </w:p>
    <w:p w14:paraId="2DF646C7" w14:textId="77777777" w:rsidR="001B4284" w:rsidRPr="007466EF" w:rsidRDefault="001B4284" w:rsidP="001B4284">
      <w:pPr>
        <w:shd w:val="clear" w:color="auto" w:fill="FFFFFF"/>
        <w:jc w:val="both"/>
      </w:pPr>
      <w:r w:rsidRPr="007466EF">
        <w:t>Potraživanja za upravne i administrativne pristojbe, pristojbe po posebnim propisima i naknade na dan 31. prosinca 2024. iskazana su u iznosu od 1.379.815,14 eura, dok su na dan 1. siječnja 2024. iskazana u iznosu od 1.572.854,64 eura što predstavlja smanjenje od 12,3% u promatranom razdoblju.</w:t>
      </w:r>
    </w:p>
    <w:p w14:paraId="5C061004" w14:textId="77777777" w:rsidR="001B4284" w:rsidRPr="007466EF" w:rsidRDefault="001B4284" w:rsidP="001B4284">
      <w:pPr>
        <w:shd w:val="clear" w:color="auto" w:fill="FFFFFF"/>
        <w:jc w:val="both"/>
      </w:pPr>
    </w:p>
    <w:p w14:paraId="6FA14D7B" w14:textId="77777777" w:rsidR="001B4284" w:rsidRPr="007466EF" w:rsidRDefault="001B4284" w:rsidP="001B4284">
      <w:pPr>
        <w:keepNext/>
        <w:jc w:val="both"/>
      </w:pPr>
      <w:r w:rsidRPr="007466EF">
        <w:t>Najznačajniji dio navedenih potraživanja na dan 31. prosinca 2024. u iznosu od 1.314.470,91 eura odnosi se na potraživanja za naknade za izdana jamstva čiji je pregled dan u Tablici 4.</w:t>
      </w:r>
    </w:p>
    <w:p w14:paraId="1A265455" w14:textId="77777777" w:rsidR="001B4284" w:rsidRPr="007466EF" w:rsidRDefault="001B4284" w:rsidP="001B4284">
      <w:pPr>
        <w:shd w:val="clear" w:color="auto" w:fill="FFFFFF"/>
        <w:jc w:val="both"/>
      </w:pPr>
    </w:p>
    <w:p w14:paraId="4B7E030A" w14:textId="77777777" w:rsidR="001B4284" w:rsidRPr="007466EF" w:rsidRDefault="001B4284" w:rsidP="001B4284">
      <w:pPr>
        <w:keepNext/>
        <w:jc w:val="both"/>
        <w:rPr>
          <w:sz w:val="28"/>
          <w:szCs w:val="28"/>
        </w:rPr>
      </w:pPr>
      <w:r w:rsidRPr="007466EF">
        <w:rPr>
          <w:b/>
          <w:sz w:val="20"/>
          <w:szCs w:val="20"/>
        </w:rPr>
        <w:t>Tablica 4.</w:t>
      </w:r>
      <w:r w:rsidRPr="007466EF">
        <w:rPr>
          <w:sz w:val="28"/>
          <w:szCs w:val="28"/>
        </w:rPr>
        <w:t xml:space="preserve"> </w:t>
      </w:r>
      <w:r w:rsidRPr="007466EF">
        <w:rPr>
          <w:b/>
          <w:sz w:val="20"/>
          <w:szCs w:val="20"/>
        </w:rPr>
        <w:t>Potraživanja za naknade za izdana jamstva</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786"/>
        <w:gridCol w:w="1602"/>
      </w:tblGrid>
      <w:tr w:rsidR="001B4284" w:rsidRPr="007466EF" w14:paraId="437E4E50" w14:textId="77777777" w:rsidTr="000F0D22">
        <w:trPr>
          <w:trHeight w:val="510"/>
          <w:jc w:val="center"/>
        </w:trPr>
        <w:tc>
          <w:tcPr>
            <w:tcW w:w="978" w:type="dxa"/>
            <w:shd w:val="clear" w:color="auto" w:fill="auto"/>
            <w:vAlign w:val="center"/>
            <w:hideMark/>
          </w:tcPr>
          <w:p w14:paraId="3C477F62" w14:textId="77777777" w:rsidR="001B4284" w:rsidRPr="007466EF" w:rsidRDefault="001B4284" w:rsidP="001B4284">
            <w:pPr>
              <w:keepNext/>
              <w:jc w:val="center"/>
              <w:rPr>
                <w:b/>
                <w:bCs/>
                <w:sz w:val="20"/>
                <w:szCs w:val="20"/>
              </w:rPr>
            </w:pPr>
            <w:r w:rsidRPr="007466EF">
              <w:rPr>
                <w:b/>
                <w:bCs/>
                <w:sz w:val="20"/>
                <w:szCs w:val="20"/>
              </w:rPr>
              <w:t>Red. broj</w:t>
            </w:r>
          </w:p>
        </w:tc>
        <w:tc>
          <w:tcPr>
            <w:tcW w:w="4786" w:type="dxa"/>
            <w:shd w:val="clear" w:color="auto" w:fill="auto"/>
            <w:noWrap/>
            <w:vAlign w:val="center"/>
            <w:hideMark/>
          </w:tcPr>
          <w:p w14:paraId="1DEEA9E5" w14:textId="77777777" w:rsidR="001B4284" w:rsidRPr="007466EF" w:rsidRDefault="001B4284" w:rsidP="001B4284">
            <w:pPr>
              <w:keepNext/>
              <w:jc w:val="center"/>
              <w:rPr>
                <w:b/>
                <w:bCs/>
                <w:sz w:val="20"/>
                <w:szCs w:val="20"/>
              </w:rPr>
            </w:pPr>
            <w:r w:rsidRPr="007466EF">
              <w:rPr>
                <w:b/>
                <w:bCs/>
                <w:sz w:val="20"/>
                <w:szCs w:val="20"/>
              </w:rPr>
              <w:t>Dužnik</w:t>
            </w:r>
          </w:p>
        </w:tc>
        <w:tc>
          <w:tcPr>
            <w:tcW w:w="1602" w:type="dxa"/>
            <w:shd w:val="clear" w:color="auto" w:fill="auto"/>
            <w:vAlign w:val="center"/>
            <w:hideMark/>
          </w:tcPr>
          <w:p w14:paraId="67F8811E" w14:textId="77777777" w:rsidR="001B4284" w:rsidRPr="007466EF" w:rsidRDefault="001B4284" w:rsidP="001B4284">
            <w:pPr>
              <w:keepNext/>
              <w:jc w:val="center"/>
              <w:rPr>
                <w:b/>
                <w:bCs/>
                <w:sz w:val="20"/>
                <w:szCs w:val="20"/>
              </w:rPr>
            </w:pPr>
            <w:r w:rsidRPr="007466EF">
              <w:rPr>
                <w:b/>
                <w:bCs/>
                <w:sz w:val="20"/>
                <w:szCs w:val="20"/>
              </w:rPr>
              <w:t>Stanje ukupnih potraživanja na 31.12.2024.</w:t>
            </w:r>
          </w:p>
        </w:tc>
      </w:tr>
      <w:tr w:rsidR="001B4284" w:rsidRPr="007466EF" w14:paraId="4E312A07" w14:textId="77777777" w:rsidTr="000F0D22">
        <w:trPr>
          <w:trHeight w:val="278"/>
          <w:jc w:val="center"/>
        </w:trPr>
        <w:tc>
          <w:tcPr>
            <w:tcW w:w="978" w:type="dxa"/>
            <w:shd w:val="clear" w:color="auto" w:fill="auto"/>
            <w:noWrap/>
            <w:vAlign w:val="center"/>
          </w:tcPr>
          <w:p w14:paraId="5F8F3AE9" w14:textId="77777777" w:rsidR="001B4284" w:rsidRPr="007466EF" w:rsidRDefault="001B4284" w:rsidP="001B4284">
            <w:pPr>
              <w:keepNext/>
              <w:jc w:val="center"/>
              <w:rPr>
                <w:sz w:val="20"/>
                <w:szCs w:val="20"/>
              </w:rPr>
            </w:pPr>
            <w:r w:rsidRPr="007466EF">
              <w:rPr>
                <w:sz w:val="20"/>
                <w:szCs w:val="20"/>
              </w:rPr>
              <w:t>1.</w:t>
            </w:r>
          </w:p>
        </w:tc>
        <w:tc>
          <w:tcPr>
            <w:tcW w:w="4786" w:type="dxa"/>
            <w:shd w:val="clear" w:color="auto" w:fill="auto"/>
            <w:noWrap/>
            <w:vAlign w:val="center"/>
          </w:tcPr>
          <w:p w14:paraId="14D3F369" w14:textId="77777777" w:rsidR="001B4284" w:rsidRPr="007466EF" w:rsidRDefault="001B4284" w:rsidP="001B4284">
            <w:pPr>
              <w:keepNext/>
              <w:rPr>
                <w:sz w:val="20"/>
                <w:szCs w:val="20"/>
              </w:rPr>
            </w:pPr>
            <w:r w:rsidRPr="007466EF">
              <w:rPr>
                <w:sz w:val="20"/>
                <w:szCs w:val="20"/>
              </w:rPr>
              <w:t>3. MAJ BRODOGRADILIŠTE D.D.</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DB2CD" w14:textId="77777777" w:rsidR="001B4284" w:rsidRPr="007466EF" w:rsidRDefault="001B4284" w:rsidP="001B4284">
            <w:pPr>
              <w:keepNext/>
              <w:jc w:val="right"/>
              <w:rPr>
                <w:sz w:val="20"/>
                <w:szCs w:val="20"/>
              </w:rPr>
            </w:pPr>
            <w:r w:rsidRPr="007466EF">
              <w:rPr>
                <w:sz w:val="20"/>
                <w:szCs w:val="20"/>
              </w:rPr>
              <w:t>915.329,55</w:t>
            </w:r>
          </w:p>
        </w:tc>
      </w:tr>
      <w:tr w:rsidR="001B4284" w:rsidRPr="007466EF" w14:paraId="267D75FA" w14:textId="77777777" w:rsidTr="000F0D22">
        <w:trPr>
          <w:trHeight w:val="278"/>
          <w:jc w:val="center"/>
        </w:trPr>
        <w:tc>
          <w:tcPr>
            <w:tcW w:w="978" w:type="dxa"/>
            <w:shd w:val="clear" w:color="auto" w:fill="auto"/>
            <w:noWrap/>
            <w:vAlign w:val="center"/>
          </w:tcPr>
          <w:p w14:paraId="4F263A4A" w14:textId="77777777" w:rsidR="001B4284" w:rsidRPr="007466EF" w:rsidRDefault="001B4284" w:rsidP="001B4284">
            <w:pPr>
              <w:keepNext/>
              <w:jc w:val="center"/>
              <w:rPr>
                <w:sz w:val="20"/>
                <w:szCs w:val="20"/>
              </w:rPr>
            </w:pPr>
            <w:r w:rsidRPr="007466EF">
              <w:rPr>
                <w:sz w:val="20"/>
                <w:szCs w:val="20"/>
              </w:rPr>
              <w:t>2.</w:t>
            </w:r>
          </w:p>
        </w:tc>
        <w:tc>
          <w:tcPr>
            <w:tcW w:w="4786" w:type="dxa"/>
            <w:shd w:val="clear" w:color="auto" w:fill="auto"/>
            <w:noWrap/>
            <w:vAlign w:val="center"/>
          </w:tcPr>
          <w:p w14:paraId="08970A5E" w14:textId="77777777" w:rsidR="001B4284" w:rsidRPr="007466EF" w:rsidRDefault="001B4284" w:rsidP="001B4284">
            <w:pPr>
              <w:keepNext/>
              <w:rPr>
                <w:sz w:val="20"/>
                <w:szCs w:val="20"/>
              </w:rPr>
            </w:pPr>
            <w:r w:rsidRPr="007466EF">
              <w:rPr>
                <w:sz w:val="20"/>
                <w:szCs w:val="20"/>
              </w:rPr>
              <w:t>JADROPLOV D.D.</w:t>
            </w:r>
          </w:p>
        </w:tc>
        <w:tc>
          <w:tcPr>
            <w:tcW w:w="1602" w:type="dxa"/>
            <w:tcBorders>
              <w:top w:val="nil"/>
              <w:left w:val="single" w:sz="4" w:space="0" w:color="auto"/>
              <w:bottom w:val="single" w:sz="4" w:space="0" w:color="auto"/>
              <w:right w:val="single" w:sz="4" w:space="0" w:color="auto"/>
            </w:tcBorders>
            <w:shd w:val="clear" w:color="auto" w:fill="auto"/>
            <w:noWrap/>
            <w:vAlign w:val="center"/>
          </w:tcPr>
          <w:p w14:paraId="257577B1" w14:textId="77777777" w:rsidR="001B4284" w:rsidRPr="007466EF" w:rsidRDefault="001B4284" w:rsidP="001B4284">
            <w:pPr>
              <w:keepNext/>
              <w:jc w:val="right"/>
              <w:rPr>
                <w:sz w:val="20"/>
                <w:szCs w:val="20"/>
              </w:rPr>
            </w:pPr>
            <w:r w:rsidRPr="007466EF">
              <w:rPr>
                <w:sz w:val="20"/>
                <w:szCs w:val="20"/>
              </w:rPr>
              <w:t>82.014,87</w:t>
            </w:r>
          </w:p>
        </w:tc>
      </w:tr>
      <w:tr w:rsidR="001B4284" w:rsidRPr="007466EF" w14:paraId="152A2C12" w14:textId="77777777" w:rsidTr="000F0D22">
        <w:trPr>
          <w:trHeight w:val="278"/>
          <w:jc w:val="center"/>
        </w:trPr>
        <w:tc>
          <w:tcPr>
            <w:tcW w:w="978" w:type="dxa"/>
            <w:shd w:val="clear" w:color="auto" w:fill="auto"/>
            <w:noWrap/>
            <w:vAlign w:val="center"/>
          </w:tcPr>
          <w:p w14:paraId="3623C5E6" w14:textId="77777777" w:rsidR="001B4284" w:rsidRPr="007466EF" w:rsidRDefault="001B4284" w:rsidP="001B4284">
            <w:pPr>
              <w:keepNext/>
              <w:jc w:val="center"/>
              <w:rPr>
                <w:sz w:val="20"/>
                <w:szCs w:val="20"/>
              </w:rPr>
            </w:pPr>
            <w:r w:rsidRPr="007466EF">
              <w:rPr>
                <w:sz w:val="20"/>
                <w:szCs w:val="20"/>
              </w:rPr>
              <w:t>3.</w:t>
            </w:r>
          </w:p>
        </w:tc>
        <w:tc>
          <w:tcPr>
            <w:tcW w:w="4786" w:type="dxa"/>
            <w:shd w:val="clear" w:color="auto" w:fill="auto"/>
            <w:noWrap/>
            <w:vAlign w:val="center"/>
          </w:tcPr>
          <w:p w14:paraId="156BC660" w14:textId="77777777" w:rsidR="001B4284" w:rsidRPr="007466EF" w:rsidRDefault="001B4284" w:rsidP="001B4284">
            <w:pPr>
              <w:keepNext/>
              <w:rPr>
                <w:sz w:val="20"/>
                <w:szCs w:val="20"/>
              </w:rPr>
            </w:pPr>
            <w:r w:rsidRPr="007466EF">
              <w:rPr>
                <w:sz w:val="20"/>
                <w:szCs w:val="20"/>
              </w:rPr>
              <w:t>BRODOGRAĐEVNA INDUSTRIJA SPLIT D.D.</w:t>
            </w:r>
          </w:p>
        </w:tc>
        <w:tc>
          <w:tcPr>
            <w:tcW w:w="1602" w:type="dxa"/>
            <w:tcBorders>
              <w:top w:val="nil"/>
              <w:left w:val="single" w:sz="4" w:space="0" w:color="auto"/>
              <w:bottom w:val="single" w:sz="4" w:space="0" w:color="auto"/>
              <w:right w:val="single" w:sz="4" w:space="0" w:color="auto"/>
            </w:tcBorders>
            <w:shd w:val="clear" w:color="auto" w:fill="auto"/>
            <w:noWrap/>
            <w:vAlign w:val="center"/>
          </w:tcPr>
          <w:p w14:paraId="62A5FEBB" w14:textId="77777777" w:rsidR="001B4284" w:rsidRPr="007466EF" w:rsidRDefault="001B4284" w:rsidP="001B4284">
            <w:pPr>
              <w:keepNext/>
              <w:jc w:val="right"/>
              <w:rPr>
                <w:sz w:val="20"/>
                <w:szCs w:val="20"/>
              </w:rPr>
            </w:pPr>
            <w:r w:rsidRPr="007466EF">
              <w:rPr>
                <w:sz w:val="20"/>
                <w:szCs w:val="20"/>
              </w:rPr>
              <w:t>167.661,69</w:t>
            </w:r>
          </w:p>
        </w:tc>
      </w:tr>
      <w:tr w:rsidR="001B4284" w:rsidRPr="007466EF" w14:paraId="35767A58" w14:textId="77777777" w:rsidTr="000F0D22">
        <w:trPr>
          <w:trHeight w:val="278"/>
          <w:jc w:val="center"/>
        </w:trPr>
        <w:tc>
          <w:tcPr>
            <w:tcW w:w="978" w:type="dxa"/>
            <w:shd w:val="clear" w:color="auto" w:fill="auto"/>
            <w:noWrap/>
            <w:vAlign w:val="center"/>
          </w:tcPr>
          <w:p w14:paraId="0DE963BE" w14:textId="77777777" w:rsidR="001B4284" w:rsidRPr="007466EF" w:rsidRDefault="001B4284" w:rsidP="001B4284">
            <w:pPr>
              <w:keepNext/>
              <w:jc w:val="center"/>
              <w:rPr>
                <w:sz w:val="20"/>
                <w:szCs w:val="20"/>
              </w:rPr>
            </w:pPr>
            <w:r w:rsidRPr="007466EF">
              <w:rPr>
                <w:sz w:val="20"/>
                <w:szCs w:val="20"/>
              </w:rPr>
              <w:t>4.</w:t>
            </w:r>
          </w:p>
        </w:tc>
        <w:tc>
          <w:tcPr>
            <w:tcW w:w="4786" w:type="dxa"/>
            <w:shd w:val="clear" w:color="auto" w:fill="auto"/>
            <w:noWrap/>
            <w:vAlign w:val="center"/>
          </w:tcPr>
          <w:p w14:paraId="4DA42226" w14:textId="77777777" w:rsidR="001B4284" w:rsidRPr="007466EF" w:rsidRDefault="001B4284" w:rsidP="001B4284">
            <w:pPr>
              <w:keepNext/>
              <w:rPr>
                <w:sz w:val="20"/>
                <w:szCs w:val="20"/>
              </w:rPr>
            </w:pPr>
            <w:r w:rsidRPr="007466EF">
              <w:rPr>
                <w:sz w:val="20"/>
                <w:szCs w:val="20"/>
              </w:rPr>
              <w:t>ULJANIK BRODOGRADNJA 1856 D.O.O.</w:t>
            </w:r>
          </w:p>
        </w:tc>
        <w:tc>
          <w:tcPr>
            <w:tcW w:w="1602" w:type="dxa"/>
            <w:tcBorders>
              <w:top w:val="nil"/>
              <w:left w:val="single" w:sz="4" w:space="0" w:color="auto"/>
              <w:bottom w:val="single" w:sz="4" w:space="0" w:color="auto"/>
              <w:right w:val="single" w:sz="4" w:space="0" w:color="auto"/>
            </w:tcBorders>
            <w:shd w:val="clear" w:color="auto" w:fill="auto"/>
            <w:noWrap/>
            <w:vAlign w:val="center"/>
          </w:tcPr>
          <w:p w14:paraId="2CBEF980" w14:textId="77777777" w:rsidR="001B4284" w:rsidRPr="007466EF" w:rsidRDefault="001B4284" w:rsidP="001B4284">
            <w:pPr>
              <w:keepNext/>
              <w:jc w:val="right"/>
              <w:rPr>
                <w:sz w:val="20"/>
                <w:szCs w:val="20"/>
              </w:rPr>
            </w:pPr>
            <w:r w:rsidRPr="007466EF">
              <w:rPr>
                <w:sz w:val="20"/>
                <w:szCs w:val="20"/>
              </w:rPr>
              <w:t>13.973,54</w:t>
            </w:r>
          </w:p>
        </w:tc>
      </w:tr>
      <w:tr w:rsidR="001B4284" w:rsidRPr="007466EF" w14:paraId="67BCFCF7" w14:textId="77777777" w:rsidTr="000F0D22">
        <w:trPr>
          <w:trHeight w:val="278"/>
          <w:jc w:val="center"/>
        </w:trPr>
        <w:tc>
          <w:tcPr>
            <w:tcW w:w="978" w:type="dxa"/>
            <w:shd w:val="clear" w:color="auto" w:fill="auto"/>
            <w:noWrap/>
            <w:vAlign w:val="center"/>
          </w:tcPr>
          <w:p w14:paraId="1D404974" w14:textId="77777777" w:rsidR="001B4284" w:rsidRPr="007466EF" w:rsidRDefault="001B4284" w:rsidP="001B4284">
            <w:pPr>
              <w:keepNext/>
              <w:jc w:val="center"/>
              <w:rPr>
                <w:sz w:val="20"/>
                <w:szCs w:val="20"/>
              </w:rPr>
            </w:pPr>
            <w:r w:rsidRPr="007466EF">
              <w:rPr>
                <w:sz w:val="20"/>
                <w:szCs w:val="20"/>
              </w:rPr>
              <w:t>5.</w:t>
            </w:r>
          </w:p>
        </w:tc>
        <w:tc>
          <w:tcPr>
            <w:tcW w:w="4786" w:type="dxa"/>
            <w:shd w:val="clear" w:color="auto" w:fill="auto"/>
            <w:noWrap/>
            <w:vAlign w:val="center"/>
          </w:tcPr>
          <w:p w14:paraId="464EA58E" w14:textId="77777777" w:rsidR="001B4284" w:rsidRPr="007466EF" w:rsidRDefault="001B4284" w:rsidP="001B4284">
            <w:pPr>
              <w:keepNext/>
              <w:rPr>
                <w:sz w:val="20"/>
                <w:szCs w:val="20"/>
              </w:rPr>
            </w:pPr>
            <w:r w:rsidRPr="007466EF">
              <w:rPr>
                <w:sz w:val="20"/>
                <w:szCs w:val="20"/>
              </w:rPr>
              <w:t>ULJANIK BRODOGRADILIŠTE D.D. U STEČAJU</w:t>
            </w:r>
          </w:p>
        </w:tc>
        <w:tc>
          <w:tcPr>
            <w:tcW w:w="1602" w:type="dxa"/>
            <w:tcBorders>
              <w:top w:val="nil"/>
              <w:left w:val="single" w:sz="4" w:space="0" w:color="auto"/>
              <w:bottom w:val="single" w:sz="4" w:space="0" w:color="auto"/>
              <w:right w:val="single" w:sz="4" w:space="0" w:color="auto"/>
            </w:tcBorders>
            <w:shd w:val="clear" w:color="auto" w:fill="auto"/>
            <w:noWrap/>
            <w:vAlign w:val="center"/>
          </w:tcPr>
          <w:p w14:paraId="52321E30" w14:textId="77777777" w:rsidR="001B4284" w:rsidRPr="007466EF" w:rsidRDefault="001B4284" w:rsidP="001B4284">
            <w:pPr>
              <w:keepNext/>
              <w:jc w:val="right"/>
              <w:rPr>
                <w:sz w:val="20"/>
                <w:szCs w:val="20"/>
              </w:rPr>
            </w:pPr>
            <w:r w:rsidRPr="007466EF">
              <w:rPr>
                <w:sz w:val="20"/>
                <w:szCs w:val="20"/>
              </w:rPr>
              <w:t>111.352,34</w:t>
            </w:r>
          </w:p>
        </w:tc>
      </w:tr>
      <w:tr w:rsidR="001B4284" w:rsidRPr="007466EF" w14:paraId="550C183A" w14:textId="77777777" w:rsidTr="000F0D22">
        <w:trPr>
          <w:trHeight w:val="278"/>
          <w:jc w:val="center"/>
        </w:trPr>
        <w:tc>
          <w:tcPr>
            <w:tcW w:w="978" w:type="dxa"/>
            <w:shd w:val="clear" w:color="auto" w:fill="auto"/>
            <w:noWrap/>
            <w:vAlign w:val="center"/>
          </w:tcPr>
          <w:p w14:paraId="58416E4A" w14:textId="77777777" w:rsidR="001B4284" w:rsidRPr="007466EF" w:rsidRDefault="001B4284" w:rsidP="001B4284">
            <w:pPr>
              <w:keepNext/>
              <w:jc w:val="center"/>
              <w:rPr>
                <w:sz w:val="20"/>
                <w:szCs w:val="20"/>
              </w:rPr>
            </w:pPr>
            <w:r w:rsidRPr="007466EF">
              <w:rPr>
                <w:sz w:val="20"/>
                <w:szCs w:val="20"/>
              </w:rPr>
              <w:t>6.</w:t>
            </w:r>
          </w:p>
        </w:tc>
        <w:tc>
          <w:tcPr>
            <w:tcW w:w="4786" w:type="dxa"/>
            <w:shd w:val="clear" w:color="auto" w:fill="auto"/>
            <w:noWrap/>
            <w:vAlign w:val="center"/>
          </w:tcPr>
          <w:p w14:paraId="6130EF90" w14:textId="77777777" w:rsidR="001B4284" w:rsidRPr="007466EF" w:rsidRDefault="001B4284" w:rsidP="001B4284">
            <w:pPr>
              <w:keepNext/>
              <w:rPr>
                <w:sz w:val="20"/>
                <w:szCs w:val="20"/>
              </w:rPr>
            </w:pPr>
            <w:r w:rsidRPr="007466EF">
              <w:rPr>
                <w:sz w:val="20"/>
                <w:szCs w:val="20"/>
              </w:rPr>
              <w:t>BRODOTROGIR CRUISE d.o.o.</w:t>
            </w:r>
          </w:p>
        </w:tc>
        <w:tc>
          <w:tcPr>
            <w:tcW w:w="1602" w:type="dxa"/>
            <w:tcBorders>
              <w:top w:val="nil"/>
              <w:left w:val="single" w:sz="4" w:space="0" w:color="auto"/>
              <w:bottom w:val="nil"/>
              <w:right w:val="single" w:sz="4" w:space="0" w:color="auto"/>
            </w:tcBorders>
            <w:shd w:val="clear" w:color="auto" w:fill="auto"/>
            <w:noWrap/>
            <w:vAlign w:val="center"/>
          </w:tcPr>
          <w:p w14:paraId="2D63499F" w14:textId="77777777" w:rsidR="001B4284" w:rsidRPr="007466EF" w:rsidRDefault="001B4284" w:rsidP="001B4284">
            <w:pPr>
              <w:keepNext/>
              <w:jc w:val="right"/>
              <w:rPr>
                <w:sz w:val="20"/>
                <w:szCs w:val="20"/>
              </w:rPr>
            </w:pPr>
            <w:r w:rsidRPr="007466EF">
              <w:rPr>
                <w:sz w:val="20"/>
                <w:szCs w:val="20"/>
              </w:rPr>
              <w:t>17.039,83</w:t>
            </w:r>
          </w:p>
        </w:tc>
      </w:tr>
      <w:tr w:rsidR="001B4284" w:rsidRPr="007466EF" w14:paraId="6ABD7289" w14:textId="77777777" w:rsidTr="000F0D22">
        <w:trPr>
          <w:trHeight w:val="278"/>
          <w:jc w:val="center"/>
        </w:trPr>
        <w:tc>
          <w:tcPr>
            <w:tcW w:w="978" w:type="dxa"/>
            <w:shd w:val="clear" w:color="auto" w:fill="auto"/>
            <w:noWrap/>
            <w:vAlign w:val="center"/>
          </w:tcPr>
          <w:p w14:paraId="4C0A3D24" w14:textId="77777777" w:rsidR="001B4284" w:rsidRPr="007466EF" w:rsidRDefault="001B4284" w:rsidP="001B4284">
            <w:pPr>
              <w:keepNext/>
              <w:jc w:val="center"/>
              <w:rPr>
                <w:sz w:val="20"/>
                <w:szCs w:val="20"/>
              </w:rPr>
            </w:pPr>
            <w:r w:rsidRPr="007466EF">
              <w:rPr>
                <w:sz w:val="20"/>
                <w:szCs w:val="20"/>
              </w:rPr>
              <w:t>7.</w:t>
            </w:r>
          </w:p>
        </w:tc>
        <w:tc>
          <w:tcPr>
            <w:tcW w:w="4786" w:type="dxa"/>
            <w:shd w:val="clear" w:color="auto" w:fill="auto"/>
            <w:noWrap/>
            <w:vAlign w:val="center"/>
          </w:tcPr>
          <w:p w14:paraId="3FD86046" w14:textId="77777777" w:rsidR="001B4284" w:rsidRPr="007466EF" w:rsidRDefault="001B4284" w:rsidP="001B4284">
            <w:pPr>
              <w:keepNext/>
              <w:rPr>
                <w:sz w:val="20"/>
                <w:szCs w:val="20"/>
              </w:rPr>
            </w:pPr>
            <w:r w:rsidRPr="007466EF">
              <w:rPr>
                <w:sz w:val="20"/>
                <w:szCs w:val="20"/>
              </w:rPr>
              <w:t>Đuro Đaković Grupa d.d.</w:t>
            </w:r>
          </w:p>
        </w:tc>
        <w:tc>
          <w:tcPr>
            <w:tcW w:w="1602"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AF2413B" w14:textId="77777777" w:rsidR="001B4284" w:rsidRPr="007466EF" w:rsidRDefault="001B4284" w:rsidP="001B4284">
            <w:pPr>
              <w:keepNext/>
              <w:jc w:val="right"/>
              <w:rPr>
                <w:sz w:val="20"/>
                <w:szCs w:val="20"/>
              </w:rPr>
            </w:pPr>
            <w:r w:rsidRPr="007466EF">
              <w:rPr>
                <w:sz w:val="20"/>
                <w:szCs w:val="20"/>
              </w:rPr>
              <w:t>7.099,08</w:t>
            </w:r>
          </w:p>
        </w:tc>
      </w:tr>
      <w:tr w:rsidR="001B4284" w:rsidRPr="007466EF" w14:paraId="7682EA24" w14:textId="77777777" w:rsidTr="000F0D22">
        <w:trPr>
          <w:trHeight w:val="278"/>
          <w:jc w:val="center"/>
        </w:trPr>
        <w:tc>
          <w:tcPr>
            <w:tcW w:w="978" w:type="dxa"/>
            <w:shd w:val="clear" w:color="auto" w:fill="auto"/>
            <w:noWrap/>
            <w:vAlign w:val="center"/>
          </w:tcPr>
          <w:p w14:paraId="00DFE696" w14:textId="77777777" w:rsidR="001B4284" w:rsidRPr="007466EF" w:rsidRDefault="001B4284" w:rsidP="001B4284">
            <w:pPr>
              <w:keepNext/>
              <w:jc w:val="center"/>
              <w:rPr>
                <w:sz w:val="20"/>
                <w:szCs w:val="20"/>
              </w:rPr>
            </w:pPr>
          </w:p>
        </w:tc>
        <w:tc>
          <w:tcPr>
            <w:tcW w:w="4786" w:type="dxa"/>
            <w:shd w:val="clear" w:color="auto" w:fill="auto"/>
            <w:noWrap/>
            <w:vAlign w:val="center"/>
          </w:tcPr>
          <w:p w14:paraId="289DC2CA" w14:textId="77777777" w:rsidR="001B4284" w:rsidRPr="007466EF" w:rsidRDefault="001B4284" w:rsidP="001B4284">
            <w:pPr>
              <w:keepNext/>
              <w:rPr>
                <w:b/>
                <w:sz w:val="20"/>
                <w:szCs w:val="20"/>
              </w:rPr>
            </w:pPr>
            <w:r w:rsidRPr="007466EF">
              <w:rPr>
                <w:b/>
                <w:sz w:val="20"/>
                <w:szCs w:val="20"/>
              </w:rPr>
              <w:t>UKUPNO</w:t>
            </w:r>
          </w:p>
        </w:tc>
        <w:tc>
          <w:tcPr>
            <w:tcW w:w="1602" w:type="dxa"/>
            <w:tcBorders>
              <w:top w:val="nil"/>
              <w:left w:val="single" w:sz="8" w:space="0" w:color="auto"/>
              <w:bottom w:val="single" w:sz="8" w:space="0" w:color="auto"/>
              <w:right w:val="single" w:sz="8" w:space="0" w:color="auto"/>
            </w:tcBorders>
            <w:shd w:val="clear" w:color="auto" w:fill="auto"/>
            <w:noWrap/>
            <w:vAlign w:val="center"/>
          </w:tcPr>
          <w:p w14:paraId="47467EFF" w14:textId="77777777" w:rsidR="001B4284" w:rsidRPr="007466EF" w:rsidRDefault="001B4284" w:rsidP="001B4284">
            <w:pPr>
              <w:keepNext/>
              <w:jc w:val="right"/>
              <w:rPr>
                <w:b/>
                <w:sz w:val="20"/>
                <w:szCs w:val="20"/>
              </w:rPr>
            </w:pPr>
            <w:r w:rsidRPr="007466EF">
              <w:rPr>
                <w:b/>
                <w:sz w:val="20"/>
                <w:szCs w:val="20"/>
              </w:rPr>
              <w:t>1.314.470,91</w:t>
            </w:r>
          </w:p>
        </w:tc>
      </w:tr>
    </w:tbl>
    <w:p w14:paraId="175D6602" w14:textId="4968448A" w:rsidR="001B4284" w:rsidRDefault="001B4284" w:rsidP="00FB0E6E">
      <w:pPr>
        <w:jc w:val="both"/>
      </w:pPr>
    </w:p>
    <w:p w14:paraId="401A4E08" w14:textId="77777777" w:rsidR="00FB0E6E" w:rsidRPr="00FB0E6E" w:rsidRDefault="00FB0E6E" w:rsidP="00FB0E6E">
      <w:pPr>
        <w:jc w:val="both"/>
      </w:pPr>
    </w:p>
    <w:p w14:paraId="751F292C" w14:textId="77777777" w:rsidR="001B4284" w:rsidRPr="007466EF" w:rsidRDefault="001B4284" w:rsidP="001B4284">
      <w:pPr>
        <w:widowControl w:val="0"/>
        <w:jc w:val="center"/>
        <w:rPr>
          <w:sz w:val="28"/>
          <w:szCs w:val="28"/>
        </w:rPr>
      </w:pPr>
      <w:r w:rsidRPr="007466EF">
        <w:rPr>
          <w:sz w:val="28"/>
          <w:szCs w:val="28"/>
        </w:rPr>
        <w:lastRenderedPageBreak/>
        <w:t>Bilješka 17.</w:t>
      </w:r>
    </w:p>
    <w:p w14:paraId="477B8401" w14:textId="77777777" w:rsidR="001B4284" w:rsidRPr="007466EF" w:rsidRDefault="001B4284" w:rsidP="001B4284">
      <w:pPr>
        <w:widowControl w:val="0"/>
        <w:jc w:val="center"/>
        <w:rPr>
          <w:sz w:val="28"/>
          <w:szCs w:val="28"/>
        </w:rPr>
      </w:pPr>
      <w:r w:rsidRPr="007466EF">
        <w:rPr>
          <w:sz w:val="28"/>
          <w:szCs w:val="28"/>
        </w:rPr>
        <w:t>Šifra 166 Potraživanja za prihode od prodaje proizvoda i robe te pruženih usluga i za povrat po protestiranim jamstvima</w:t>
      </w:r>
    </w:p>
    <w:p w14:paraId="6884007D" w14:textId="77777777" w:rsidR="001B4284" w:rsidRPr="007466EF" w:rsidRDefault="001B4284" w:rsidP="001B4284">
      <w:pPr>
        <w:widowControl w:val="0"/>
        <w:jc w:val="both"/>
      </w:pPr>
      <w:r w:rsidRPr="007466EF">
        <w:t xml:space="preserve">Potraživanja za prihode od prodaje proizvoda i robe te pruženih usluga i za povrat po protestiranim jamstvima na dan 31. prosinca 2024. iskazana su u iznosu od 297.288.368,33 eura, dok su na dan 1. siječnja 2024. iskazana u iznosu od 298.442.599,75 eura što predstavlja smanjenje od 0,4% u promatranom razdoblju. </w:t>
      </w:r>
    </w:p>
    <w:p w14:paraId="2B13AB5B" w14:textId="77777777" w:rsidR="001B4284" w:rsidRPr="007466EF" w:rsidRDefault="001B4284" w:rsidP="001B4284">
      <w:pPr>
        <w:widowControl w:val="0"/>
        <w:jc w:val="both"/>
      </w:pPr>
    </w:p>
    <w:p w14:paraId="2CA183C6" w14:textId="77777777" w:rsidR="001B4284" w:rsidRPr="007466EF" w:rsidRDefault="001B4284" w:rsidP="001B4284">
      <w:pPr>
        <w:widowControl w:val="0"/>
        <w:jc w:val="both"/>
      </w:pPr>
      <w:r w:rsidRPr="007466EF">
        <w:t>Najznačajniji dio potraživanja na dan 31. prosinca 2024. odnosi se na potraživanja od tuzemnih trgovačkih društava izvan javnog sektora za povrate po protestiranim jamstvima kako je prikazano u Tablici 5.</w:t>
      </w:r>
    </w:p>
    <w:p w14:paraId="4B4901DE" w14:textId="77777777" w:rsidR="001B4284" w:rsidRPr="007466EF" w:rsidRDefault="001B4284" w:rsidP="001B4284">
      <w:pPr>
        <w:keepNext/>
        <w:jc w:val="both"/>
        <w:rPr>
          <w:b/>
          <w:sz w:val="20"/>
          <w:szCs w:val="20"/>
        </w:rPr>
      </w:pPr>
      <w:r w:rsidRPr="007466EF">
        <w:rPr>
          <w:b/>
          <w:sz w:val="20"/>
          <w:szCs w:val="20"/>
        </w:rPr>
        <w:t>Tablica 5. Potraživanja od tuzemnih trgovačkih društava izvan javnog sektora za povrate po protestiranim jamstvima</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53"/>
        <w:gridCol w:w="1984"/>
      </w:tblGrid>
      <w:tr w:rsidR="001B4284" w:rsidRPr="007466EF" w14:paraId="292A0910" w14:textId="77777777" w:rsidTr="000F0D22">
        <w:trPr>
          <w:trHeight w:val="510"/>
          <w:jc w:val="center"/>
        </w:trPr>
        <w:tc>
          <w:tcPr>
            <w:tcW w:w="1134" w:type="dxa"/>
            <w:shd w:val="clear" w:color="auto" w:fill="auto"/>
            <w:vAlign w:val="center"/>
            <w:hideMark/>
          </w:tcPr>
          <w:p w14:paraId="4AD991AA" w14:textId="77777777" w:rsidR="001B4284" w:rsidRPr="007466EF" w:rsidRDefault="001B4284" w:rsidP="001B4284">
            <w:pPr>
              <w:keepNext/>
              <w:jc w:val="center"/>
              <w:rPr>
                <w:b/>
                <w:bCs/>
                <w:sz w:val="18"/>
                <w:szCs w:val="20"/>
              </w:rPr>
            </w:pPr>
            <w:r w:rsidRPr="007466EF">
              <w:rPr>
                <w:b/>
                <w:bCs/>
                <w:sz w:val="18"/>
                <w:szCs w:val="20"/>
              </w:rPr>
              <w:t>Red. broj</w:t>
            </w:r>
          </w:p>
        </w:tc>
        <w:tc>
          <w:tcPr>
            <w:tcW w:w="4253" w:type="dxa"/>
            <w:shd w:val="clear" w:color="auto" w:fill="auto"/>
            <w:noWrap/>
            <w:vAlign w:val="center"/>
            <w:hideMark/>
          </w:tcPr>
          <w:p w14:paraId="17B615CE" w14:textId="77777777" w:rsidR="001B4284" w:rsidRPr="007466EF" w:rsidRDefault="001B4284" w:rsidP="001B4284">
            <w:pPr>
              <w:keepNext/>
              <w:jc w:val="center"/>
              <w:rPr>
                <w:b/>
                <w:bCs/>
                <w:sz w:val="18"/>
                <w:szCs w:val="20"/>
              </w:rPr>
            </w:pPr>
            <w:r w:rsidRPr="007466EF">
              <w:rPr>
                <w:b/>
                <w:bCs/>
                <w:sz w:val="18"/>
                <w:szCs w:val="20"/>
              </w:rPr>
              <w:t>Dužnik</w:t>
            </w:r>
          </w:p>
        </w:tc>
        <w:tc>
          <w:tcPr>
            <w:tcW w:w="1984" w:type="dxa"/>
            <w:shd w:val="clear" w:color="auto" w:fill="auto"/>
            <w:vAlign w:val="center"/>
            <w:hideMark/>
          </w:tcPr>
          <w:p w14:paraId="3F6F3AA8" w14:textId="77777777" w:rsidR="001B4284" w:rsidRPr="007466EF" w:rsidRDefault="001B4284" w:rsidP="001B4284">
            <w:pPr>
              <w:keepNext/>
              <w:jc w:val="center"/>
              <w:rPr>
                <w:b/>
                <w:bCs/>
                <w:sz w:val="18"/>
                <w:szCs w:val="20"/>
              </w:rPr>
            </w:pPr>
            <w:r w:rsidRPr="007466EF">
              <w:rPr>
                <w:b/>
                <w:bCs/>
                <w:sz w:val="18"/>
                <w:szCs w:val="20"/>
              </w:rPr>
              <w:t>Stanje ukupnih potraživanja na 31.12.2024.</w:t>
            </w:r>
          </w:p>
        </w:tc>
      </w:tr>
      <w:tr w:rsidR="001B4284" w:rsidRPr="007466EF" w14:paraId="2882D2E6" w14:textId="77777777" w:rsidTr="000F0D22">
        <w:trPr>
          <w:trHeight w:val="278"/>
          <w:jc w:val="center"/>
        </w:trPr>
        <w:tc>
          <w:tcPr>
            <w:tcW w:w="1134" w:type="dxa"/>
            <w:shd w:val="clear" w:color="auto" w:fill="auto"/>
            <w:noWrap/>
            <w:vAlign w:val="center"/>
            <w:hideMark/>
          </w:tcPr>
          <w:p w14:paraId="4CAA6FF9" w14:textId="77777777" w:rsidR="001B4284" w:rsidRPr="007466EF" w:rsidRDefault="001B4284" w:rsidP="001B4284">
            <w:pPr>
              <w:keepNext/>
              <w:jc w:val="center"/>
              <w:rPr>
                <w:sz w:val="20"/>
                <w:szCs w:val="20"/>
              </w:rPr>
            </w:pPr>
            <w:r w:rsidRPr="007466EF">
              <w:rPr>
                <w:sz w:val="20"/>
                <w:szCs w:val="20"/>
              </w:rPr>
              <w:t>1.</w:t>
            </w:r>
          </w:p>
        </w:tc>
        <w:tc>
          <w:tcPr>
            <w:tcW w:w="4253" w:type="dxa"/>
            <w:shd w:val="clear" w:color="auto" w:fill="auto"/>
            <w:noWrap/>
            <w:vAlign w:val="center"/>
            <w:hideMark/>
          </w:tcPr>
          <w:p w14:paraId="41967009" w14:textId="77777777" w:rsidR="001B4284" w:rsidRPr="007466EF" w:rsidRDefault="001B4284" w:rsidP="001B4284">
            <w:pPr>
              <w:keepNext/>
              <w:rPr>
                <w:sz w:val="20"/>
                <w:szCs w:val="20"/>
              </w:rPr>
            </w:pPr>
            <w:r w:rsidRPr="007466EF">
              <w:rPr>
                <w:sz w:val="20"/>
                <w:szCs w:val="20"/>
              </w:rPr>
              <w:t>DRNIŠPLAST</w:t>
            </w:r>
          </w:p>
        </w:tc>
        <w:tc>
          <w:tcPr>
            <w:tcW w:w="1984" w:type="dxa"/>
            <w:shd w:val="clear" w:color="auto" w:fill="auto"/>
            <w:noWrap/>
            <w:vAlign w:val="center"/>
            <w:hideMark/>
          </w:tcPr>
          <w:p w14:paraId="4354D52C" w14:textId="77777777" w:rsidR="001B4284" w:rsidRPr="007466EF" w:rsidRDefault="001B4284" w:rsidP="001B4284">
            <w:pPr>
              <w:jc w:val="right"/>
              <w:rPr>
                <w:sz w:val="20"/>
                <w:szCs w:val="20"/>
              </w:rPr>
            </w:pPr>
            <w:r w:rsidRPr="007466EF">
              <w:rPr>
                <w:sz w:val="20"/>
                <w:szCs w:val="20"/>
              </w:rPr>
              <w:t>2.460.028,77</w:t>
            </w:r>
          </w:p>
        </w:tc>
      </w:tr>
      <w:tr w:rsidR="001B4284" w:rsidRPr="007466EF" w14:paraId="68762954" w14:textId="77777777" w:rsidTr="000F0D22">
        <w:trPr>
          <w:trHeight w:val="278"/>
          <w:jc w:val="center"/>
        </w:trPr>
        <w:tc>
          <w:tcPr>
            <w:tcW w:w="1134" w:type="dxa"/>
            <w:shd w:val="clear" w:color="auto" w:fill="auto"/>
            <w:noWrap/>
            <w:vAlign w:val="center"/>
          </w:tcPr>
          <w:p w14:paraId="3DE19A32" w14:textId="77777777" w:rsidR="001B4284" w:rsidRPr="007466EF" w:rsidRDefault="001B4284" w:rsidP="001B4284">
            <w:pPr>
              <w:keepNext/>
              <w:jc w:val="center"/>
              <w:rPr>
                <w:sz w:val="20"/>
                <w:szCs w:val="20"/>
              </w:rPr>
            </w:pPr>
            <w:r w:rsidRPr="007466EF">
              <w:rPr>
                <w:sz w:val="20"/>
                <w:szCs w:val="20"/>
              </w:rPr>
              <w:t>2.</w:t>
            </w:r>
          </w:p>
        </w:tc>
        <w:tc>
          <w:tcPr>
            <w:tcW w:w="4253" w:type="dxa"/>
            <w:shd w:val="clear" w:color="auto" w:fill="auto"/>
            <w:noWrap/>
            <w:vAlign w:val="center"/>
          </w:tcPr>
          <w:p w14:paraId="12E5456F" w14:textId="77777777" w:rsidR="001B4284" w:rsidRPr="007466EF" w:rsidRDefault="001B4284" w:rsidP="001B4284">
            <w:pPr>
              <w:keepNext/>
              <w:rPr>
                <w:sz w:val="20"/>
                <w:szCs w:val="20"/>
              </w:rPr>
            </w:pPr>
            <w:r w:rsidRPr="007466EF">
              <w:rPr>
                <w:sz w:val="20"/>
                <w:szCs w:val="20"/>
              </w:rPr>
              <w:t>3. MAJ BRODOGRADILIŠTE</w:t>
            </w:r>
          </w:p>
        </w:tc>
        <w:tc>
          <w:tcPr>
            <w:tcW w:w="1984" w:type="dxa"/>
            <w:shd w:val="clear" w:color="auto" w:fill="auto"/>
            <w:noWrap/>
            <w:vAlign w:val="center"/>
          </w:tcPr>
          <w:p w14:paraId="00A581EE" w14:textId="77777777" w:rsidR="001B4284" w:rsidRPr="007466EF" w:rsidRDefault="001B4284" w:rsidP="001B4284">
            <w:pPr>
              <w:jc w:val="right"/>
              <w:rPr>
                <w:sz w:val="20"/>
                <w:szCs w:val="20"/>
              </w:rPr>
            </w:pPr>
            <w:r w:rsidRPr="007466EF">
              <w:rPr>
                <w:sz w:val="20"/>
                <w:szCs w:val="20"/>
              </w:rPr>
              <w:t>31.946.653,36</w:t>
            </w:r>
          </w:p>
        </w:tc>
      </w:tr>
      <w:tr w:rsidR="001B4284" w:rsidRPr="007466EF" w14:paraId="23009232" w14:textId="77777777" w:rsidTr="000F0D22">
        <w:trPr>
          <w:trHeight w:val="278"/>
          <w:jc w:val="center"/>
        </w:trPr>
        <w:tc>
          <w:tcPr>
            <w:tcW w:w="1134" w:type="dxa"/>
            <w:shd w:val="clear" w:color="auto" w:fill="auto"/>
            <w:noWrap/>
            <w:vAlign w:val="center"/>
          </w:tcPr>
          <w:p w14:paraId="181C5941" w14:textId="77777777" w:rsidR="001B4284" w:rsidRPr="007466EF" w:rsidRDefault="001B4284" w:rsidP="001B4284">
            <w:pPr>
              <w:keepNext/>
              <w:jc w:val="center"/>
              <w:rPr>
                <w:sz w:val="20"/>
                <w:szCs w:val="20"/>
              </w:rPr>
            </w:pPr>
            <w:r w:rsidRPr="007466EF">
              <w:rPr>
                <w:sz w:val="20"/>
                <w:szCs w:val="20"/>
              </w:rPr>
              <w:t>3.</w:t>
            </w:r>
          </w:p>
        </w:tc>
        <w:tc>
          <w:tcPr>
            <w:tcW w:w="4253" w:type="dxa"/>
            <w:shd w:val="clear" w:color="auto" w:fill="auto"/>
            <w:noWrap/>
            <w:vAlign w:val="center"/>
          </w:tcPr>
          <w:p w14:paraId="1298DA79" w14:textId="77777777" w:rsidR="001B4284" w:rsidRPr="007466EF" w:rsidRDefault="001B4284" w:rsidP="001B4284">
            <w:pPr>
              <w:keepNext/>
              <w:rPr>
                <w:sz w:val="20"/>
                <w:szCs w:val="20"/>
              </w:rPr>
            </w:pPr>
            <w:r w:rsidRPr="007466EF">
              <w:rPr>
                <w:sz w:val="20"/>
                <w:szCs w:val="20"/>
              </w:rPr>
              <w:t>LJEČILIŠTE TOPUSKO</w:t>
            </w:r>
          </w:p>
        </w:tc>
        <w:tc>
          <w:tcPr>
            <w:tcW w:w="1984" w:type="dxa"/>
            <w:shd w:val="clear" w:color="auto" w:fill="auto"/>
            <w:noWrap/>
            <w:vAlign w:val="center"/>
          </w:tcPr>
          <w:p w14:paraId="0D020EDB" w14:textId="77777777" w:rsidR="001B4284" w:rsidRPr="007466EF" w:rsidRDefault="001B4284" w:rsidP="001B4284">
            <w:pPr>
              <w:jc w:val="right"/>
              <w:rPr>
                <w:sz w:val="20"/>
                <w:szCs w:val="20"/>
              </w:rPr>
            </w:pPr>
            <w:r w:rsidRPr="007466EF">
              <w:rPr>
                <w:sz w:val="20"/>
                <w:szCs w:val="20"/>
              </w:rPr>
              <w:t>4.653.842,82</w:t>
            </w:r>
          </w:p>
        </w:tc>
      </w:tr>
      <w:tr w:rsidR="001B4284" w:rsidRPr="007466EF" w14:paraId="21B03A82" w14:textId="77777777" w:rsidTr="000F0D22">
        <w:trPr>
          <w:trHeight w:val="278"/>
          <w:jc w:val="center"/>
        </w:trPr>
        <w:tc>
          <w:tcPr>
            <w:tcW w:w="1134" w:type="dxa"/>
            <w:shd w:val="clear" w:color="auto" w:fill="auto"/>
            <w:noWrap/>
            <w:vAlign w:val="center"/>
          </w:tcPr>
          <w:p w14:paraId="67F54933" w14:textId="77777777" w:rsidR="001B4284" w:rsidRPr="007466EF" w:rsidRDefault="001B4284" w:rsidP="001B4284">
            <w:pPr>
              <w:keepNext/>
              <w:jc w:val="center"/>
              <w:rPr>
                <w:sz w:val="20"/>
                <w:szCs w:val="20"/>
              </w:rPr>
            </w:pPr>
            <w:r w:rsidRPr="007466EF">
              <w:rPr>
                <w:sz w:val="20"/>
                <w:szCs w:val="20"/>
              </w:rPr>
              <w:t>4.</w:t>
            </w:r>
          </w:p>
        </w:tc>
        <w:tc>
          <w:tcPr>
            <w:tcW w:w="4253" w:type="dxa"/>
            <w:shd w:val="clear" w:color="auto" w:fill="auto"/>
            <w:noWrap/>
            <w:vAlign w:val="center"/>
          </w:tcPr>
          <w:p w14:paraId="48061CD8" w14:textId="77777777" w:rsidR="001B4284" w:rsidRPr="007466EF" w:rsidRDefault="001B4284" w:rsidP="001B4284">
            <w:pPr>
              <w:keepNext/>
              <w:rPr>
                <w:sz w:val="20"/>
                <w:szCs w:val="20"/>
              </w:rPr>
            </w:pPr>
            <w:r w:rsidRPr="007466EF">
              <w:rPr>
                <w:sz w:val="20"/>
                <w:szCs w:val="20"/>
              </w:rPr>
              <w:t>HUM</w:t>
            </w:r>
          </w:p>
        </w:tc>
        <w:tc>
          <w:tcPr>
            <w:tcW w:w="1984" w:type="dxa"/>
            <w:shd w:val="clear" w:color="auto" w:fill="auto"/>
            <w:noWrap/>
            <w:vAlign w:val="center"/>
          </w:tcPr>
          <w:p w14:paraId="2D8D52DA" w14:textId="77777777" w:rsidR="001B4284" w:rsidRPr="007466EF" w:rsidRDefault="001B4284" w:rsidP="001B4284">
            <w:pPr>
              <w:jc w:val="right"/>
              <w:rPr>
                <w:sz w:val="20"/>
                <w:szCs w:val="20"/>
              </w:rPr>
            </w:pPr>
            <w:r w:rsidRPr="007466EF">
              <w:rPr>
                <w:sz w:val="20"/>
                <w:szCs w:val="20"/>
              </w:rPr>
              <w:t>3.035.541,51</w:t>
            </w:r>
          </w:p>
        </w:tc>
      </w:tr>
      <w:tr w:rsidR="001B4284" w:rsidRPr="007466EF" w14:paraId="368AFC71" w14:textId="77777777" w:rsidTr="000F0D22">
        <w:trPr>
          <w:trHeight w:val="278"/>
          <w:jc w:val="center"/>
        </w:trPr>
        <w:tc>
          <w:tcPr>
            <w:tcW w:w="1134" w:type="dxa"/>
            <w:shd w:val="clear" w:color="auto" w:fill="auto"/>
            <w:noWrap/>
            <w:vAlign w:val="center"/>
          </w:tcPr>
          <w:p w14:paraId="00C14161" w14:textId="77777777" w:rsidR="001B4284" w:rsidRPr="007466EF" w:rsidRDefault="001B4284" w:rsidP="001B4284">
            <w:pPr>
              <w:keepNext/>
              <w:jc w:val="center"/>
              <w:rPr>
                <w:sz w:val="20"/>
                <w:szCs w:val="20"/>
              </w:rPr>
            </w:pPr>
            <w:r w:rsidRPr="007466EF">
              <w:rPr>
                <w:sz w:val="20"/>
                <w:szCs w:val="20"/>
              </w:rPr>
              <w:t>5.</w:t>
            </w:r>
          </w:p>
        </w:tc>
        <w:tc>
          <w:tcPr>
            <w:tcW w:w="4253" w:type="dxa"/>
            <w:shd w:val="clear" w:color="auto" w:fill="auto"/>
            <w:noWrap/>
            <w:vAlign w:val="center"/>
          </w:tcPr>
          <w:p w14:paraId="10F5E9E7" w14:textId="77777777" w:rsidR="001B4284" w:rsidRPr="007466EF" w:rsidRDefault="001B4284" w:rsidP="001B4284">
            <w:pPr>
              <w:keepNext/>
              <w:rPr>
                <w:sz w:val="20"/>
                <w:szCs w:val="20"/>
              </w:rPr>
            </w:pPr>
            <w:r w:rsidRPr="007466EF">
              <w:rPr>
                <w:sz w:val="20"/>
                <w:szCs w:val="20"/>
              </w:rPr>
              <w:t>ULJANIK BRODOGRADILIŠTE</w:t>
            </w:r>
          </w:p>
        </w:tc>
        <w:tc>
          <w:tcPr>
            <w:tcW w:w="1984" w:type="dxa"/>
            <w:shd w:val="clear" w:color="auto" w:fill="auto"/>
            <w:noWrap/>
            <w:vAlign w:val="center"/>
          </w:tcPr>
          <w:p w14:paraId="451AF738" w14:textId="77777777" w:rsidR="001B4284" w:rsidRPr="007466EF" w:rsidRDefault="001B4284" w:rsidP="001B4284">
            <w:pPr>
              <w:jc w:val="right"/>
              <w:rPr>
                <w:sz w:val="20"/>
                <w:szCs w:val="20"/>
              </w:rPr>
            </w:pPr>
            <w:r w:rsidRPr="007466EF">
              <w:rPr>
                <w:sz w:val="20"/>
                <w:szCs w:val="20"/>
              </w:rPr>
              <w:t>136.577.657,32</w:t>
            </w:r>
          </w:p>
        </w:tc>
      </w:tr>
      <w:tr w:rsidR="001B4284" w:rsidRPr="007466EF" w14:paraId="196667B9" w14:textId="77777777" w:rsidTr="000F0D22">
        <w:trPr>
          <w:trHeight w:val="278"/>
          <w:jc w:val="center"/>
        </w:trPr>
        <w:tc>
          <w:tcPr>
            <w:tcW w:w="1134" w:type="dxa"/>
            <w:shd w:val="clear" w:color="auto" w:fill="auto"/>
            <w:noWrap/>
            <w:vAlign w:val="center"/>
          </w:tcPr>
          <w:p w14:paraId="0D035C29" w14:textId="77777777" w:rsidR="001B4284" w:rsidRPr="007466EF" w:rsidRDefault="001B4284" w:rsidP="001B4284">
            <w:pPr>
              <w:keepNext/>
              <w:jc w:val="center"/>
              <w:rPr>
                <w:sz w:val="20"/>
                <w:szCs w:val="20"/>
              </w:rPr>
            </w:pPr>
            <w:r w:rsidRPr="007466EF">
              <w:rPr>
                <w:sz w:val="20"/>
                <w:szCs w:val="20"/>
              </w:rPr>
              <w:t>6.</w:t>
            </w:r>
          </w:p>
        </w:tc>
        <w:tc>
          <w:tcPr>
            <w:tcW w:w="4253" w:type="dxa"/>
            <w:shd w:val="clear" w:color="auto" w:fill="auto"/>
            <w:noWrap/>
            <w:vAlign w:val="center"/>
          </w:tcPr>
          <w:p w14:paraId="54F353F4" w14:textId="77777777" w:rsidR="001B4284" w:rsidRPr="007466EF" w:rsidRDefault="001B4284" w:rsidP="001B4284">
            <w:pPr>
              <w:keepNext/>
              <w:rPr>
                <w:sz w:val="20"/>
                <w:szCs w:val="20"/>
              </w:rPr>
            </w:pPr>
            <w:r w:rsidRPr="007466EF">
              <w:rPr>
                <w:sz w:val="20"/>
                <w:szCs w:val="20"/>
              </w:rPr>
              <w:t>HOTEL NOVI, NOVI VINODOLSKI</w:t>
            </w:r>
          </w:p>
        </w:tc>
        <w:tc>
          <w:tcPr>
            <w:tcW w:w="1984" w:type="dxa"/>
            <w:shd w:val="clear" w:color="auto" w:fill="auto"/>
            <w:noWrap/>
            <w:vAlign w:val="center"/>
          </w:tcPr>
          <w:p w14:paraId="15E8A749" w14:textId="77777777" w:rsidR="001B4284" w:rsidRPr="007466EF" w:rsidRDefault="001B4284" w:rsidP="001B4284">
            <w:pPr>
              <w:jc w:val="right"/>
              <w:rPr>
                <w:sz w:val="20"/>
                <w:szCs w:val="20"/>
              </w:rPr>
            </w:pPr>
            <w:r w:rsidRPr="007466EF">
              <w:rPr>
                <w:sz w:val="20"/>
                <w:szCs w:val="20"/>
              </w:rPr>
              <w:t>222.257,12</w:t>
            </w:r>
          </w:p>
        </w:tc>
      </w:tr>
      <w:tr w:rsidR="001B4284" w:rsidRPr="007466EF" w14:paraId="595905A6" w14:textId="77777777" w:rsidTr="000F0D22">
        <w:trPr>
          <w:trHeight w:val="278"/>
          <w:jc w:val="center"/>
        </w:trPr>
        <w:tc>
          <w:tcPr>
            <w:tcW w:w="1134" w:type="dxa"/>
            <w:shd w:val="clear" w:color="auto" w:fill="auto"/>
            <w:noWrap/>
            <w:vAlign w:val="center"/>
          </w:tcPr>
          <w:p w14:paraId="08A5F3A2" w14:textId="77777777" w:rsidR="001B4284" w:rsidRPr="007466EF" w:rsidRDefault="001B4284" w:rsidP="001B4284">
            <w:pPr>
              <w:keepNext/>
              <w:jc w:val="center"/>
              <w:rPr>
                <w:sz w:val="20"/>
                <w:szCs w:val="20"/>
              </w:rPr>
            </w:pPr>
            <w:r w:rsidRPr="007466EF">
              <w:rPr>
                <w:sz w:val="20"/>
                <w:szCs w:val="20"/>
              </w:rPr>
              <w:t>7.</w:t>
            </w:r>
          </w:p>
        </w:tc>
        <w:tc>
          <w:tcPr>
            <w:tcW w:w="4253" w:type="dxa"/>
            <w:shd w:val="clear" w:color="auto" w:fill="auto"/>
            <w:noWrap/>
            <w:vAlign w:val="center"/>
          </w:tcPr>
          <w:p w14:paraId="61805601" w14:textId="77777777" w:rsidR="001B4284" w:rsidRPr="007466EF" w:rsidRDefault="001B4284" w:rsidP="001B4284">
            <w:pPr>
              <w:keepNext/>
              <w:rPr>
                <w:sz w:val="20"/>
                <w:szCs w:val="20"/>
              </w:rPr>
            </w:pPr>
            <w:r w:rsidRPr="007466EF">
              <w:rPr>
                <w:sz w:val="20"/>
                <w:szCs w:val="20"/>
              </w:rPr>
              <w:t>HOTELI OMIŠALJ</w:t>
            </w:r>
          </w:p>
        </w:tc>
        <w:tc>
          <w:tcPr>
            <w:tcW w:w="1984" w:type="dxa"/>
            <w:shd w:val="clear" w:color="auto" w:fill="auto"/>
            <w:noWrap/>
            <w:vAlign w:val="center"/>
          </w:tcPr>
          <w:p w14:paraId="1370617F" w14:textId="77777777" w:rsidR="001B4284" w:rsidRPr="007466EF" w:rsidRDefault="001B4284" w:rsidP="001B4284">
            <w:pPr>
              <w:jc w:val="right"/>
              <w:rPr>
                <w:sz w:val="20"/>
                <w:szCs w:val="20"/>
              </w:rPr>
            </w:pPr>
            <w:r w:rsidRPr="007466EF">
              <w:rPr>
                <w:sz w:val="20"/>
                <w:szCs w:val="20"/>
              </w:rPr>
              <w:t>5.116.369,79</w:t>
            </w:r>
          </w:p>
        </w:tc>
      </w:tr>
      <w:tr w:rsidR="001B4284" w:rsidRPr="007466EF" w14:paraId="7970D413" w14:textId="77777777" w:rsidTr="000F0D22">
        <w:trPr>
          <w:trHeight w:val="278"/>
          <w:jc w:val="center"/>
        </w:trPr>
        <w:tc>
          <w:tcPr>
            <w:tcW w:w="1134" w:type="dxa"/>
            <w:shd w:val="clear" w:color="auto" w:fill="auto"/>
            <w:noWrap/>
            <w:vAlign w:val="center"/>
          </w:tcPr>
          <w:p w14:paraId="473A9A34" w14:textId="77777777" w:rsidR="001B4284" w:rsidRPr="007466EF" w:rsidRDefault="001B4284" w:rsidP="001B4284">
            <w:pPr>
              <w:keepNext/>
              <w:jc w:val="center"/>
              <w:rPr>
                <w:sz w:val="20"/>
                <w:szCs w:val="20"/>
              </w:rPr>
            </w:pPr>
            <w:r w:rsidRPr="007466EF">
              <w:rPr>
                <w:sz w:val="20"/>
                <w:szCs w:val="20"/>
              </w:rPr>
              <w:t>8.</w:t>
            </w:r>
          </w:p>
        </w:tc>
        <w:tc>
          <w:tcPr>
            <w:tcW w:w="4253" w:type="dxa"/>
            <w:shd w:val="clear" w:color="auto" w:fill="auto"/>
            <w:noWrap/>
            <w:vAlign w:val="center"/>
          </w:tcPr>
          <w:p w14:paraId="2E3AA21F" w14:textId="77777777" w:rsidR="001B4284" w:rsidRPr="007466EF" w:rsidRDefault="001B4284" w:rsidP="001B4284">
            <w:pPr>
              <w:keepNext/>
              <w:rPr>
                <w:sz w:val="20"/>
                <w:szCs w:val="20"/>
              </w:rPr>
            </w:pPr>
            <w:r w:rsidRPr="007466EF">
              <w:rPr>
                <w:sz w:val="20"/>
                <w:szCs w:val="20"/>
              </w:rPr>
              <w:t>HOTELI ŠOLTA</w:t>
            </w:r>
          </w:p>
        </w:tc>
        <w:tc>
          <w:tcPr>
            <w:tcW w:w="1984" w:type="dxa"/>
            <w:shd w:val="clear" w:color="auto" w:fill="auto"/>
            <w:noWrap/>
            <w:vAlign w:val="center"/>
          </w:tcPr>
          <w:p w14:paraId="1A6A41F3" w14:textId="77777777" w:rsidR="001B4284" w:rsidRPr="007466EF" w:rsidRDefault="001B4284" w:rsidP="001B4284">
            <w:pPr>
              <w:jc w:val="right"/>
              <w:rPr>
                <w:sz w:val="20"/>
                <w:szCs w:val="20"/>
              </w:rPr>
            </w:pPr>
            <w:r w:rsidRPr="007466EF">
              <w:rPr>
                <w:sz w:val="20"/>
                <w:szCs w:val="20"/>
              </w:rPr>
              <w:t>1.373.120,34</w:t>
            </w:r>
          </w:p>
        </w:tc>
      </w:tr>
      <w:tr w:rsidR="001B4284" w:rsidRPr="007466EF" w14:paraId="317FA7DB" w14:textId="77777777" w:rsidTr="000F0D22">
        <w:trPr>
          <w:trHeight w:val="278"/>
          <w:jc w:val="center"/>
        </w:trPr>
        <w:tc>
          <w:tcPr>
            <w:tcW w:w="1134" w:type="dxa"/>
            <w:shd w:val="clear" w:color="auto" w:fill="auto"/>
            <w:noWrap/>
            <w:vAlign w:val="center"/>
          </w:tcPr>
          <w:p w14:paraId="7884E412" w14:textId="77777777" w:rsidR="001B4284" w:rsidRPr="007466EF" w:rsidRDefault="001B4284" w:rsidP="001B4284">
            <w:pPr>
              <w:keepNext/>
              <w:jc w:val="center"/>
              <w:rPr>
                <w:sz w:val="20"/>
                <w:szCs w:val="20"/>
              </w:rPr>
            </w:pPr>
            <w:r w:rsidRPr="007466EF">
              <w:rPr>
                <w:sz w:val="20"/>
                <w:szCs w:val="20"/>
              </w:rPr>
              <w:t>9.</w:t>
            </w:r>
          </w:p>
        </w:tc>
        <w:tc>
          <w:tcPr>
            <w:tcW w:w="4253" w:type="dxa"/>
            <w:shd w:val="clear" w:color="auto" w:fill="auto"/>
            <w:noWrap/>
            <w:vAlign w:val="center"/>
          </w:tcPr>
          <w:p w14:paraId="1D2E7A75" w14:textId="77777777" w:rsidR="001B4284" w:rsidRPr="007466EF" w:rsidRDefault="001B4284" w:rsidP="001B4284">
            <w:pPr>
              <w:keepNext/>
              <w:rPr>
                <w:sz w:val="20"/>
                <w:szCs w:val="20"/>
              </w:rPr>
            </w:pPr>
            <w:r w:rsidRPr="007466EF">
              <w:rPr>
                <w:sz w:val="20"/>
                <w:szCs w:val="20"/>
              </w:rPr>
              <w:t>PRESIDENT ZADAR</w:t>
            </w:r>
          </w:p>
        </w:tc>
        <w:tc>
          <w:tcPr>
            <w:tcW w:w="1984" w:type="dxa"/>
            <w:shd w:val="clear" w:color="auto" w:fill="auto"/>
            <w:noWrap/>
            <w:vAlign w:val="center"/>
          </w:tcPr>
          <w:p w14:paraId="1B1C8DFB" w14:textId="77777777" w:rsidR="001B4284" w:rsidRPr="007466EF" w:rsidRDefault="001B4284" w:rsidP="001B4284">
            <w:pPr>
              <w:jc w:val="right"/>
              <w:rPr>
                <w:sz w:val="20"/>
                <w:szCs w:val="20"/>
              </w:rPr>
            </w:pPr>
            <w:r w:rsidRPr="007466EF">
              <w:rPr>
                <w:sz w:val="20"/>
                <w:szCs w:val="20"/>
              </w:rPr>
              <w:t>924.291,41</w:t>
            </w:r>
          </w:p>
        </w:tc>
      </w:tr>
      <w:tr w:rsidR="001B4284" w:rsidRPr="007466EF" w14:paraId="2AA9BA74" w14:textId="77777777" w:rsidTr="000F0D22">
        <w:trPr>
          <w:trHeight w:val="278"/>
          <w:jc w:val="center"/>
        </w:trPr>
        <w:tc>
          <w:tcPr>
            <w:tcW w:w="1134" w:type="dxa"/>
            <w:shd w:val="clear" w:color="auto" w:fill="auto"/>
            <w:noWrap/>
            <w:vAlign w:val="center"/>
          </w:tcPr>
          <w:p w14:paraId="095755F4" w14:textId="77777777" w:rsidR="001B4284" w:rsidRPr="007466EF" w:rsidRDefault="001B4284" w:rsidP="001B4284">
            <w:pPr>
              <w:keepNext/>
              <w:jc w:val="center"/>
              <w:rPr>
                <w:sz w:val="20"/>
                <w:szCs w:val="20"/>
              </w:rPr>
            </w:pPr>
            <w:r w:rsidRPr="007466EF">
              <w:rPr>
                <w:sz w:val="20"/>
                <w:szCs w:val="20"/>
              </w:rPr>
              <w:t>10.</w:t>
            </w:r>
          </w:p>
        </w:tc>
        <w:tc>
          <w:tcPr>
            <w:tcW w:w="4253" w:type="dxa"/>
            <w:shd w:val="clear" w:color="auto" w:fill="auto"/>
            <w:noWrap/>
            <w:vAlign w:val="center"/>
          </w:tcPr>
          <w:p w14:paraId="76891980" w14:textId="77777777" w:rsidR="001B4284" w:rsidRPr="007466EF" w:rsidRDefault="001B4284" w:rsidP="001B4284">
            <w:pPr>
              <w:keepNext/>
              <w:rPr>
                <w:sz w:val="20"/>
                <w:szCs w:val="20"/>
              </w:rPr>
            </w:pPr>
            <w:r w:rsidRPr="007466EF">
              <w:rPr>
                <w:sz w:val="20"/>
                <w:szCs w:val="20"/>
              </w:rPr>
              <w:t>DIOKI D.D. (CALISKAN)</w:t>
            </w:r>
          </w:p>
        </w:tc>
        <w:tc>
          <w:tcPr>
            <w:tcW w:w="1984" w:type="dxa"/>
            <w:shd w:val="clear" w:color="auto" w:fill="auto"/>
            <w:noWrap/>
            <w:vAlign w:val="center"/>
          </w:tcPr>
          <w:p w14:paraId="04A4359F" w14:textId="77777777" w:rsidR="001B4284" w:rsidRPr="007466EF" w:rsidRDefault="001B4284" w:rsidP="001B4284">
            <w:pPr>
              <w:jc w:val="right"/>
              <w:rPr>
                <w:sz w:val="20"/>
                <w:szCs w:val="20"/>
              </w:rPr>
            </w:pPr>
            <w:r w:rsidRPr="007466EF">
              <w:rPr>
                <w:sz w:val="20"/>
                <w:szCs w:val="20"/>
              </w:rPr>
              <w:t>5.076.647,42</w:t>
            </w:r>
          </w:p>
        </w:tc>
      </w:tr>
      <w:tr w:rsidR="001B4284" w:rsidRPr="007466EF" w14:paraId="5F06879B" w14:textId="77777777" w:rsidTr="000F0D22">
        <w:trPr>
          <w:trHeight w:val="278"/>
          <w:jc w:val="center"/>
        </w:trPr>
        <w:tc>
          <w:tcPr>
            <w:tcW w:w="1134" w:type="dxa"/>
            <w:shd w:val="clear" w:color="auto" w:fill="auto"/>
            <w:noWrap/>
            <w:vAlign w:val="center"/>
          </w:tcPr>
          <w:p w14:paraId="4C62B5A1" w14:textId="77777777" w:rsidR="001B4284" w:rsidRPr="007466EF" w:rsidRDefault="001B4284" w:rsidP="001B4284">
            <w:pPr>
              <w:keepNext/>
              <w:jc w:val="center"/>
              <w:rPr>
                <w:sz w:val="20"/>
                <w:szCs w:val="20"/>
              </w:rPr>
            </w:pPr>
            <w:r w:rsidRPr="007466EF">
              <w:rPr>
                <w:sz w:val="20"/>
                <w:szCs w:val="20"/>
              </w:rPr>
              <w:t>11.</w:t>
            </w:r>
          </w:p>
        </w:tc>
        <w:tc>
          <w:tcPr>
            <w:tcW w:w="4253" w:type="dxa"/>
            <w:shd w:val="clear" w:color="auto" w:fill="auto"/>
            <w:noWrap/>
            <w:vAlign w:val="center"/>
          </w:tcPr>
          <w:p w14:paraId="01DEB1E4" w14:textId="77777777" w:rsidR="001B4284" w:rsidRPr="007466EF" w:rsidRDefault="001B4284" w:rsidP="001B4284">
            <w:pPr>
              <w:keepNext/>
              <w:rPr>
                <w:sz w:val="20"/>
                <w:szCs w:val="20"/>
              </w:rPr>
            </w:pPr>
            <w:r w:rsidRPr="007466EF">
              <w:rPr>
                <w:sz w:val="20"/>
                <w:szCs w:val="20"/>
              </w:rPr>
              <w:t>BRODOGRAĐEVNA INDUSTRIJA SPLIT</w:t>
            </w:r>
          </w:p>
        </w:tc>
        <w:tc>
          <w:tcPr>
            <w:tcW w:w="1984" w:type="dxa"/>
            <w:shd w:val="clear" w:color="auto" w:fill="auto"/>
            <w:noWrap/>
            <w:vAlign w:val="center"/>
          </w:tcPr>
          <w:p w14:paraId="575B277B" w14:textId="77777777" w:rsidR="001B4284" w:rsidRPr="007466EF" w:rsidRDefault="001B4284" w:rsidP="001B4284">
            <w:pPr>
              <w:jc w:val="right"/>
              <w:rPr>
                <w:sz w:val="20"/>
                <w:szCs w:val="20"/>
              </w:rPr>
            </w:pPr>
            <w:r w:rsidRPr="007466EF">
              <w:rPr>
                <w:sz w:val="20"/>
                <w:szCs w:val="20"/>
              </w:rPr>
              <w:t>32.251.318,26</w:t>
            </w:r>
          </w:p>
        </w:tc>
      </w:tr>
      <w:tr w:rsidR="001B4284" w:rsidRPr="007466EF" w14:paraId="75B92E4F" w14:textId="77777777" w:rsidTr="000F0D22">
        <w:trPr>
          <w:trHeight w:val="278"/>
          <w:jc w:val="center"/>
        </w:trPr>
        <w:tc>
          <w:tcPr>
            <w:tcW w:w="1134" w:type="dxa"/>
            <w:shd w:val="clear" w:color="auto" w:fill="auto"/>
            <w:noWrap/>
            <w:vAlign w:val="center"/>
          </w:tcPr>
          <w:p w14:paraId="188D21B3" w14:textId="77777777" w:rsidR="001B4284" w:rsidRPr="007466EF" w:rsidRDefault="001B4284" w:rsidP="001B4284">
            <w:pPr>
              <w:keepNext/>
              <w:jc w:val="center"/>
              <w:rPr>
                <w:sz w:val="20"/>
                <w:szCs w:val="20"/>
              </w:rPr>
            </w:pPr>
          </w:p>
        </w:tc>
        <w:tc>
          <w:tcPr>
            <w:tcW w:w="4253" w:type="dxa"/>
            <w:shd w:val="clear" w:color="auto" w:fill="auto"/>
            <w:noWrap/>
            <w:vAlign w:val="center"/>
          </w:tcPr>
          <w:p w14:paraId="79528214" w14:textId="77777777" w:rsidR="001B4284" w:rsidRPr="007466EF" w:rsidRDefault="001B4284" w:rsidP="001B4284">
            <w:pPr>
              <w:keepNext/>
              <w:rPr>
                <w:color w:val="000000" w:themeColor="text1"/>
                <w:sz w:val="20"/>
                <w:szCs w:val="20"/>
              </w:rPr>
            </w:pPr>
            <w:r w:rsidRPr="007466EF">
              <w:rPr>
                <w:b/>
                <w:color w:val="000000" w:themeColor="text1"/>
                <w:sz w:val="20"/>
                <w:szCs w:val="20"/>
              </w:rPr>
              <w:t>UKUPNO</w:t>
            </w:r>
          </w:p>
        </w:tc>
        <w:tc>
          <w:tcPr>
            <w:tcW w:w="1984" w:type="dxa"/>
            <w:shd w:val="clear" w:color="auto" w:fill="auto"/>
            <w:noWrap/>
            <w:vAlign w:val="center"/>
          </w:tcPr>
          <w:p w14:paraId="6D551FFD" w14:textId="77777777" w:rsidR="001B4284" w:rsidRPr="007466EF" w:rsidRDefault="001B4284" w:rsidP="001B4284">
            <w:pPr>
              <w:jc w:val="right"/>
              <w:rPr>
                <w:b/>
                <w:bCs/>
              </w:rPr>
            </w:pPr>
            <w:r w:rsidRPr="007466EF">
              <w:rPr>
                <w:b/>
                <w:bCs/>
                <w:sz w:val="20"/>
              </w:rPr>
              <w:t>223.637.728,12</w:t>
            </w:r>
          </w:p>
        </w:tc>
      </w:tr>
    </w:tbl>
    <w:p w14:paraId="5C328136" w14:textId="77777777" w:rsidR="001B4284" w:rsidRPr="007466EF" w:rsidRDefault="001B4284" w:rsidP="001B4284">
      <w:pPr>
        <w:rPr>
          <w:sz w:val="20"/>
          <w:szCs w:val="20"/>
        </w:rPr>
      </w:pPr>
    </w:p>
    <w:p w14:paraId="1893DFD8" w14:textId="77777777" w:rsidR="001B4284" w:rsidRPr="007466EF" w:rsidRDefault="001B4284" w:rsidP="001B4284">
      <w:pPr>
        <w:jc w:val="both"/>
        <w:rPr>
          <w:sz w:val="20"/>
          <w:szCs w:val="20"/>
        </w:rPr>
      </w:pPr>
      <w:r w:rsidRPr="007466EF">
        <w:rPr>
          <w:sz w:val="20"/>
          <w:szCs w:val="20"/>
        </w:rPr>
        <w:t xml:space="preserve">R.br. 3. - potraživanje u postupku provedbe </w:t>
      </w:r>
      <w:proofErr w:type="spellStart"/>
      <w:r w:rsidRPr="007466EF">
        <w:rPr>
          <w:sz w:val="20"/>
          <w:szCs w:val="20"/>
        </w:rPr>
        <w:t>isknjiženja</w:t>
      </w:r>
      <w:proofErr w:type="spellEnd"/>
      <w:r w:rsidRPr="007466EF">
        <w:rPr>
          <w:sz w:val="20"/>
          <w:szCs w:val="20"/>
        </w:rPr>
        <w:t xml:space="preserve"> temeljem odluke Vlade Republike Hrvatske</w:t>
      </w:r>
    </w:p>
    <w:p w14:paraId="7BFF122B" w14:textId="77777777" w:rsidR="001B4284" w:rsidRPr="007466EF" w:rsidRDefault="001B4284" w:rsidP="001B4284">
      <w:pPr>
        <w:jc w:val="both"/>
        <w:rPr>
          <w:sz w:val="20"/>
          <w:szCs w:val="20"/>
        </w:rPr>
      </w:pPr>
      <w:r w:rsidRPr="007466EF">
        <w:rPr>
          <w:sz w:val="20"/>
          <w:szCs w:val="20"/>
        </w:rPr>
        <w:t>R.br. 4. - potraživanja koja se namiruju u ovršnom postupku</w:t>
      </w:r>
    </w:p>
    <w:p w14:paraId="0368FE60" w14:textId="77777777" w:rsidR="001B4284" w:rsidRPr="007466EF" w:rsidRDefault="001B4284" w:rsidP="001B4284">
      <w:pPr>
        <w:jc w:val="both"/>
        <w:rPr>
          <w:sz w:val="20"/>
          <w:szCs w:val="20"/>
        </w:rPr>
      </w:pPr>
      <w:r w:rsidRPr="007466EF">
        <w:rPr>
          <w:sz w:val="20"/>
          <w:szCs w:val="20"/>
        </w:rPr>
        <w:t>R.br. 5. – 10. - potraživanje prijavljeno u stečajni postupak</w:t>
      </w:r>
    </w:p>
    <w:p w14:paraId="6DF35B00" w14:textId="77777777" w:rsidR="001B4284" w:rsidRPr="007466EF" w:rsidRDefault="001B4284" w:rsidP="001B4284">
      <w:pPr>
        <w:jc w:val="both"/>
      </w:pPr>
    </w:p>
    <w:p w14:paraId="2BF6FCB2" w14:textId="77777777" w:rsidR="001B4284" w:rsidRPr="007466EF" w:rsidRDefault="001B4284" w:rsidP="001B4284">
      <w:pPr>
        <w:jc w:val="center"/>
        <w:rPr>
          <w:sz w:val="28"/>
          <w:szCs w:val="28"/>
        </w:rPr>
      </w:pPr>
      <w:r w:rsidRPr="007466EF">
        <w:rPr>
          <w:sz w:val="28"/>
          <w:szCs w:val="28"/>
        </w:rPr>
        <w:t xml:space="preserve">Bilješka 18. </w:t>
      </w:r>
    </w:p>
    <w:p w14:paraId="3D490F82" w14:textId="77777777" w:rsidR="001B4284" w:rsidRPr="007466EF" w:rsidRDefault="001B4284" w:rsidP="001B4284">
      <w:pPr>
        <w:jc w:val="center"/>
        <w:rPr>
          <w:sz w:val="28"/>
          <w:szCs w:val="28"/>
        </w:rPr>
      </w:pPr>
      <w:r w:rsidRPr="007466EF">
        <w:rPr>
          <w:sz w:val="28"/>
          <w:szCs w:val="28"/>
        </w:rPr>
        <w:t>Šifra 23 do 239 Obveze za rashode poslovanja</w:t>
      </w:r>
    </w:p>
    <w:p w14:paraId="36E4B5B6" w14:textId="77777777" w:rsidR="001B4284" w:rsidRPr="007466EF" w:rsidRDefault="001B4284" w:rsidP="001B4284">
      <w:pPr>
        <w:jc w:val="both"/>
      </w:pPr>
      <w:r w:rsidRPr="007466EF">
        <w:t xml:space="preserve">Obveze za rashode poslovanja (šifra 23) na dan 31. prosinca 2024. iskazane su u iznosu od 1.467.961.934,21 eura, a najvećim dijelom odnose se na: </w:t>
      </w:r>
    </w:p>
    <w:p w14:paraId="7F1BC587" w14:textId="77777777" w:rsidR="001B4284" w:rsidRPr="007466EF" w:rsidRDefault="001B4284" w:rsidP="001B4284">
      <w:pPr>
        <w:numPr>
          <w:ilvl w:val="0"/>
          <w:numId w:val="28"/>
        </w:numPr>
        <w:contextualSpacing/>
        <w:jc w:val="both"/>
        <w:rPr>
          <w:sz w:val="28"/>
          <w:szCs w:val="28"/>
        </w:rPr>
      </w:pPr>
      <w:r w:rsidRPr="007466EF">
        <w:t xml:space="preserve">unesene, a neplaćene zahtjeve za obveze za rashode poslovanja u 2024. iskazane na šiframa 232 </w:t>
      </w:r>
      <w:r w:rsidRPr="007466EF">
        <w:rPr>
          <w:i/>
        </w:rPr>
        <w:t>Obveze za materijalne rashode</w:t>
      </w:r>
      <w:r w:rsidRPr="007466EF">
        <w:t xml:space="preserve"> i 234 </w:t>
      </w:r>
      <w:r w:rsidRPr="007466EF">
        <w:rPr>
          <w:i/>
        </w:rPr>
        <w:t xml:space="preserve">Obveze za financijske rashode </w:t>
      </w:r>
      <w:r w:rsidRPr="007466EF">
        <w:t>u ukupnom iznosu od 5.184.722,31 eura,</w:t>
      </w:r>
    </w:p>
    <w:p w14:paraId="6775D802" w14:textId="77777777" w:rsidR="001B4284" w:rsidRPr="007466EF" w:rsidRDefault="001B4284" w:rsidP="001B4284">
      <w:pPr>
        <w:numPr>
          <w:ilvl w:val="0"/>
          <w:numId w:val="28"/>
        </w:numPr>
        <w:contextualSpacing/>
        <w:jc w:val="both"/>
        <w:rPr>
          <w:sz w:val="28"/>
          <w:szCs w:val="28"/>
        </w:rPr>
      </w:pPr>
      <w:r w:rsidRPr="007466EF">
        <w:t xml:space="preserve">obveze bivšeg Fonda za naknadu oduzete imovine u iznosu od 5.988.118,88 eura iskazane na šifri 238 </w:t>
      </w:r>
      <w:r w:rsidRPr="007466EF">
        <w:rPr>
          <w:i/>
        </w:rPr>
        <w:t xml:space="preserve">Obveze za kazne, naknade šteta i kapitalne pomoći, </w:t>
      </w:r>
      <w:r w:rsidRPr="007466EF">
        <w:t>te</w:t>
      </w:r>
    </w:p>
    <w:p w14:paraId="2EECAA41" w14:textId="77777777" w:rsidR="001B4284" w:rsidRPr="007466EF" w:rsidRDefault="001B4284" w:rsidP="001B4284">
      <w:pPr>
        <w:numPr>
          <w:ilvl w:val="0"/>
          <w:numId w:val="28"/>
        </w:numPr>
        <w:contextualSpacing/>
        <w:jc w:val="both"/>
        <w:rPr>
          <w:sz w:val="28"/>
          <w:szCs w:val="28"/>
        </w:rPr>
      </w:pPr>
      <w:r w:rsidRPr="007466EF">
        <w:t xml:space="preserve">ostale tekuće obveze u iznosu od 1.456.789.093,02 eura na šifri 239 </w:t>
      </w:r>
      <w:r w:rsidRPr="007466EF">
        <w:rPr>
          <w:i/>
        </w:rPr>
        <w:t>Ostale tekuće obveze</w:t>
      </w:r>
      <w:r w:rsidRPr="007466EF">
        <w:t>.</w:t>
      </w:r>
    </w:p>
    <w:p w14:paraId="484C5E2C" w14:textId="77777777" w:rsidR="001B4284" w:rsidRPr="007466EF" w:rsidRDefault="001B4284" w:rsidP="001B4284">
      <w:pPr>
        <w:ind w:left="720"/>
        <w:contextualSpacing/>
        <w:jc w:val="both"/>
        <w:rPr>
          <w:sz w:val="28"/>
          <w:szCs w:val="28"/>
        </w:rPr>
      </w:pPr>
    </w:p>
    <w:p w14:paraId="34C5A0AA" w14:textId="77777777" w:rsidR="001B4284" w:rsidRPr="007466EF" w:rsidRDefault="001B4284" w:rsidP="001B4284">
      <w:pPr>
        <w:spacing w:before="120"/>
        <w:jc w:val="both"/>
      </w:pPr>
      <w:r w:rsidRPr="007466EF">
        <w:rPr>
          <w:bCs/>
        </w:rPr>
        <w:t xml:space="preserve">Ostale tekuće obveze iskazane na šifri 239 u iznosu od 1.456.789.093,02 eura </w:t>
      </w:r>
      <w:r w:rsidRPr="007466EF">
        <w:t xml:space="preserve">između ostalog uključuju i: </w:t>
      </w:r>
    </w:p>
    <w:p w14:paraId="1CB17C11" w14:textId="77777777" w:rsidR="001B4284" w:rsidRPr="007466EF" w:rsidRDefault="001B4284" w:rsidP="001B4284">
      <w:pPr>
        <w:numPr>
          <w:ilvl w:val="0"/>
          <w:numId w:val="29"/>
        </w:numPr>
        <w:tabs>
          <w:tab w:val="decimal" w:pos="9000"/>
        </w:tabs>
      </w:pPr>
      <w:r w:rsidRPr="007466EF">
        <w:t>obveze državnog proračuna za prihode proračunskih korisnika uplaćene na račun proračuna</w:t>
      </w:r>
      <w:r w:rsidRPr="007466EF">
        <w:tab/>
        <w:t>1.224.048.607,47</w:t>
      </w:r>
    </w:p>
    <w:p w14:paraId="5FF157A3" w14:textId="77777777" w:rsidR="001B4284" w:rsidRPr="007466EF" w:rsidRDefault="001B4284" w:rsidP="001B4284">
      <w:pPr>
        <w:numPr>
          <w:ilvl w:val="0"/>
          <w:numId w:val="29"/>
        </w:numPr>
        <w:tabs>
          <w:tab w:val="decimal" w:pos="9000"/>
        </w:tabs>
        <w:rPr>
          <w:bCs/>
        </w:rPr>
      </w:pPr>
      <w:r w:rsidRPr="007466EF">
        <w:rPr>
          <w:bCs/>
        </w:rPr>
        <w:t>35% od prodaje stanova Ljubljanske banke</w:t>
      </w:r>
      <w:r w:rsidRPr="007466EF">
        <w:rPr>
          <w:bCs/>
        </w:rPr>
        <w:tab/>
        <w:t>63.096,49</w:t>
      </w:r>
    </w:p>
    <w:p w14:paraId="48BC02A6" w14:textId="77777777" w:rsidR="001B4284" w:rsidRPr="007466EF" w:rsidRDefault="001B4284" w:rsidP="001B4284">
      <w:pPr>
        <w:numPr>
          <w:ilvl w:val="0"/>
          <w:numId w:val="29"/>
        </w:numPr>
        <w:tabs>
          <w:tab w:val="decimal" w:pos="9000"/>
        </w:tabs>
        <w:rPr>
          <w:bCs/>
        </w:rPr>
      </w:pPr>
      <w:r w:rsidRPr="007466EF">
        <w:lastRenderedPageBreak/>
        <w:t>depozite carinarnica</w:t>
      </w:r>
      <w:r w:rsidRPr="007466EF">
        <w:rPr>
          <w:bCs/>
        </w:rPr>
        <w:tab/>
        <w:t>10.076.373,03</w:t>
      </w:r>
    </w:p>
    <w:p w14:paraId="6FBE6C80" w14:textId="77777777" w:rsidR="001B4284" w:rsidRPr="007466EF" w:rsidRDefault="001B4284" w:rsidP="001B4284">
      <w:pPr>
        <w:numPr>
          <w:ilvl w:val="0"/>
          <w:numId w:val="29"/>
        </w:numPr>
        <w:tabs>
          <w:tab w:val="decimal" w:pos="9000"/>
        </w:tabs>
        <w:ind w:right="-116"/>
        <w:rPr>
          <w:bCs/>
        </w:rPr>
      </w:pPr>
      <w:r w:rsidRPr="007466EF">
        <w:rPr>
          <w:bCs/>
        </w:rPr>
        <w:t>depozite korisnika iz ranijih godina                                                            10.113.931,13</w:t>
      </w:r>
    </w:p>
    <w:p w14:paraId="77554E4D" w14:textId="77777777" w:rsidR="001B4284" w:rsidRPr="007466EF" w:rsidRDefault="001B4284" w:rsidP="001B4284">
      <w:pPr>
        <w:numPr>
          <w:ilvl w:val="0"/>
          <w:numId w:val="29"/>
        </w:numPr>
        <w:tabs>
          <w:tab w:val="decimal" w:pos="9000"/>
        </w:tabs>
        <w:rPr>
          <w:bCs/>
        </w:rPr>
      </w:pPr>
      <w:r w:rsidRPr="007466EF">
        <w:rPr>
          <w:bCs/>
        </w:rPr>
        <w:t>obveze za jamčevine proračunskih korisnika</w:t>
      </w:r>
      <w:r w:rsidRPr="007466EF">
        <w:rPr>
          <w:bCs/>
        </w:rPr>
        <w:tab/>
        <w:t>24.138.772,77</w:t>
      </w:r>
    </w:p>
    <w:p w14:paraId="1EA9DE14" w14:textId="77777777" w:rsidR="001B4284" w:rsidRPr="007466EF" w:rsidRDefault="001B4284" w:rsidP="001B4284">
      <w:pPr>
        <w:numPr>
          <w:ilvl w:val="0"/>
          <w:numId w:val="29"/>
        </w:numPr>
        <w:tabs>
          <w:tab w:val="decimal" w:pos="9000"/>
        </w:tabs>
        <w:rPr>
          <w:bCs/>
        </w:rPr>
      </w:pPr>
      <w:r w:rsidRPr="007466EF">
        <w:rPr>
          <w:bCs/>
        </w:rPr>
        <w:t>oduzeta gotovinska sredstva (od fizičkih i pravnih osoba)</w:t>
      </w:r>
      <w:r w:rsidRPr="007466EF">
        <w:rPr>
          <w:bCs/>
        </w:rPr>
        <w:tab/>
        <w:t>86.149.586,13</w:t>
      </w:r>
    </w:p>
    <w:p w14:paraId="75B973B6" w14:textId="77777777" w:rsidR="001B4284" w:rsidRPr="007466EF" w:rsidRDefault="001B4284" w:rsidP="00FB0E6E">
      <w:pPr>
        <w:jc w:val="both"/>
      </w:pPr>
    </w:p>
    <w:p w14:paraId="66991423" w14:textId="77777777" w:rsidR="001B4284" w:rsidRPr="007466EF" w:rsidRDefault="001B4284" w:rsidP="001B4284">
      <w:pPr>
        <w:keepNext/>
        <w:jc w:val="center"/>
      </w:pPr>
      <w:r w:rsidRPr="007466EF">
        <w:rPr>
          <w:sz w:val="28"/>
          <w:szCs w:val="28"/>
        </w:rPr>
        <w:t>Bilješka 19.</w:t>
      </w:r>
    </w:p>
    <w:p w14:paraId="19A668D8" w14:textId="77777777" w:rsidR="001B4284" w:rsidRPr="007466EF" w:rsidRDefault="001B4284" w:rsidP="001B4284">
      <w:pPr>
        <w:jc w:val="center"/>
        <w:rPr>
          <w:sz w:val="28"/>
        </w:rPr>
      </w:pPr>
      <w:r w:rsidRPr="007466EF">
        <w:rPr>
          <w:sz w:val="28"/>
        </w:rPr>
        <w:t>Šifra 2521 Obveze za trezorske zapise</w:t>
      </w:r>
    </w:p>
    <w:p w14:paraId="2010F00D" w14:textId="77777777" w:rsidR="001B4284" w:rsidRPr="007466EF" w:rsidRDefault="001B4284" w:rsidP="001B4284">
      <w:pPr>
        <w:jc w:val="both"/>
      </w:pPr>
      <w:r w:rsidRPr="007466EF">
        <w:t xml:space="preserve">Obveze za trezorske zapise na dan 31. prosinca 2024. iskazane su u iznosu od 3.231.868.190,85 eura, dok su na dan 1. siječnja 2024. iskazane u iznosu od 2.588.499.881,55 eura što predstavlja povećanje od 24,9% u promatranom razdoblju. </w:t>
      </w:r>
    </w:p>
    <w:p w14:paraId="44D5E46F" w14:textId="77777777" w:rsidR="001B4284" w:rsidRPr="007466EF" w:rsidRDefault="001B4284" w:rsidP="001B4284">
      <w:pPr>
        <w:jc w:val="both"/>
      </w:pPr>
    </w:p>
    <w:p w14:paraId="5CA95BA0" w14:textId="77777777" w:rsidR="001B4284" w:rsidRPr="007466EF" w:rsidRDefault="001B4284" w:rsidP="001B4284">
      <w:pPr>
        <w:jc w:val="both"/>
      </w:pPr>
      <w:r w:rsidRPr="007466EF">
        <w:t xml:space="preserve">Ministarstvo financija provodi aukcije trezorskih zapisa u skladu s Pravilima i uvjetima aukcija trezorskih zapisa, koristeći se elektroničkim aukcijskim sustavom </w:t>
      </w:r>
      <w:proofErr w:type="spellStart"/>
      <w:r w:rsidRPr="007466EF">
        <w:t>Bloomberg</w:t>
      </w:r>
      <w:proofErr w:type="spellEnd"/>
      <w:r w:rsidRPr="007466EF">
        <w:t xml:space="preserve"> (BAS).</w:t>
      </w:r>
    </w:p>
    <w:p w14:paraId="682CF924" w14:textId="77777777" w:rsidR="001B4284" w:rsidRPr="007466EF" w:rsidRDefault="001B4284" w:rsidP="001B4284">
      <w:pPr>
        <w:jc w:val="both"/>
      </w:pPr>
    </w:p>
    <w:p w14:paraId="205EC920" w14:textId="77777777" w:rsidR="001B4284" w:rsidRPr="007466EF" w:rsidRDefault="001B4284" w:rsidP="001B4284">
      <w:pPr>
        <w:jc w:val="both"/>
      </w:pPr>
      <w:r w:rsidRPr="007466EF">
        <w:t xml:space="preserve">Do kraja prosinca 2024. održano je 5 aukcija trezorskih zapisa na kojima je bilo ukupno 7 izdanja, od čega tri izdanja s rokom dospijeća od 364 dana i četiri izdanja s rokom dospijeća od 91 dan. Na aukcijama trezorskih zapisa do kraja prosinca 2024. izdano je ukupno 4,203 milijardi eura trezorskih zapisa, a istodobno je iskupljeno 3,506 milijardi eura. </w:t>
      </w:r>
    </w:p>
    <w:p w14:paraId="6F568B71" w14:textId="77777777" w:rsidR="001B4284" w:rsidRPr="007466EF" w:rsidRDefault="001B4284" w:rsidP="001B4284">
      <w:pPr>
        <w:jc w:val="both"/>
      </w:pPr>
      <w:r w:rsidRPr="007466EF">
        <w:t xml:space="preserve">Trezorski zapisi su uvršteni u usluge </w:t>
      </w:r>
      <w:proofErr w:type="spellStart"/>
      <w:r w:rsidRPr="007466EF">
        <w:t>depozitorija</w:t>
      </w:r>
      <w:proofErr w:type="spellEnd"/>
      <w:r w:rsidRPr="007466EF">
        <w:t>, poravnanja i namire Središnjeg klirinškog depozitarnog društva d.d. te na Redovito tržište Zagrebačke burze.</w:t>
      </w:r>
    </w:p>
    <w:p w14:paraId="66305E71" w14:textId="77777777" w:rsidR="001B4284" w:rsidRPr="007466EF" w:rsidRDefault="001B4284" w:rsidP="001B4284">
      <w:pPr>
        <w:jc w:val="both"/>
      </w:pPr>
    </w:p>
    <w:p w14:paraId="68A40092" w14:textId="77777777" w:rsidR="001B4284" w:rsidRPr="007466EF" w:rsidRDefault="001B4284" w:rsidP="001B4284">
      <w:pPr>
        <w:jc w:val="center"/>
        <w:rPr>
          <w:sz w:val="28"/>
        </w:rPr>
      </w:pPr>
      <w:r w:rsidRPr="007466EF">
        <w:rPr>
          <w:sz w:val="28"/>
        </w:rPr>
        <w:t>Bilješka 20.</w:t>
      </w:r>
    </w:p>
    <w:p w14:paraId="76B6D3FA" w14:textId="77777777" w:rsidR="001B4284" w:rsidRPr="007466EF" w:rsidRDefault="001B4284" w:rsidP="001B4284">
      <w:pPr>
        <w:jc w:val="center"/>
        <w:rPr>
          <w:sz w:val="28"/>
        </w:rPr>
      </w:pPr>
      <w:r w:rsidRPr="007466EF">
        <w:rPr>
          <w:bCs/>
          <w:sz w:val="28"/>
        </w:rPr>
        <w:t>Šifra 2541 Obveza za obveznice - tuzemne</w:t>
      </w:r>
    </w:p>
    <w:p w14:paraId="5EEF1016" w14:textId="77777777" w:rsidR="001B4284" w:rsidRPr="007466EF" w:rsidRDefault="001B4284" w:rsidP="001B4284">
      <w:pPr>
        <w:jc w:val="both"/>
      </w:pPr>
      <w:r w:rsidRPr="007466EF">
        <w:t>Obveze za tuzemne obveznice na dan 31. prosinca 2024. iskazane su u iznosu od 18.206.508.573,70 eura,</w:t>
      </w:r>
      <w:r w:rsidRPr="007466EF">
        <w:rPr>
          <w:bCs/>
        </w:rPr>
        <w:t xml:space="preserve"> </w:t>
      </w:r>
      <w:r w:rsidRPr="007466EF">
        <w:t xml:space="preserve">dok su na dan 1. siječnja 2024. iskazane u iznosu od 18.071.038.402,87 eura što predstavlja neznatno povećanje od 0,7% u promatranom razdoblju. </w:t>
      </w:r>
    </w:p>
    <w:p w14:paraId="1448F5FC" w14:textId="77777777" w:rsidR="001B4284" w:rsidRPr="007466EF" w:rsidRDefault="001B4284" w:rsidP="001B4284">
      <w:pPr>
        <w:jc w:val="both"/>
      </w:pPr>
    </w:p>
    <w:p w14:paraId="4E117DCB" w14:textId="77777777" w:rsidR="001B4284" w:rsidRPr="007466EF" w:rsidRDefault="001B4284" w:rsidP="001B4284">
      <w:pPr>
        <w:jc w:val="both"/>
      </w:pPr>
      <w:r w:rsidRPr="007466EF">
        <w:t>U Tablici 6. dan je prikaz obveza po aktivnim obveznicama izdanima na domaćem tržištu kapitala na dan 31. prosinca 2024.</w:t>
      </w:r>
    </w:p>
    <w:p w14:paraId="1013A5E6" w14:textId="77777777" w:rsidR="001B4284" w:rsidRPr="007466EF" w:rsidRDefault="001B4284" w:rsidP="001B4284">
      <w:pPr>
        <w:jc w:val="both"/>
      </w:pPr>
    </w:p>
    <w:p w14:paraId="5CD0112A" w14:textId="77777777" w:rsidR="001B4284" w:rsidRPr="007466EF" w:rsidRDefault="001B4284" w:rsidP="001B4284">
      <w:pPr>
        <w:keepNext/>
        <w:jc w:val="both"/>
        <w:rPr>
          <w:b/>
          <w:sz w:val="18"/>
          <w:szCs w:val="18"/>
        </w:rPr>
      </w:pPr>
      <w:r w:rsidRPr="007466EF">
        <w:rPr>
          <w:b/>
          <w:sz w:val="18"/>
          <w:szCs w:val="18"/>
        </w:rPr>
        <w:t>Tablica 6. Obveze po aktivnim obveznicama izdanima na domaćem tržištu kapitala</w:t>
      </w:r>
    </w:p>
    <w:tbl>
      <w:tblPr>
        <w:tblW w:w="8340" w:type="dxa"/>
        <w:tblLook w:val="04A0" w:firstRow="1" w:lastRow="0" w:firstColumn="1" w:lastColumn="0" w:noHBand="0" w:noVBand="1"/>
      </w:tblPr>
      <w:tblGrid>
        <w:gridCol w:w="960"/>
        <w:gridCol w:w="3800"/>
        <w:gridCol w:w="1800"/>
        <w:gridCol w:w="1780"/>
      </w:tblGrid>
      <w:tr w:rsidR="007968C5" w:rsidRPr="007968C5" w14:paraId="4CD15469" w14:textId="77777777" w:rsidTr="007968C5">
        <w:trPr>
          <w:trHeight w:val="7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194E1" w14:textId="77777777" w:rsidR="007968C5" w:rsidRPr="007968C5" w:rsidRDefault="007968C5" w:rsidP="007968C5">
            <w:pPr>
              <w:jc w:val="center"/>
              <w:rPr>
                <w:b/>
                <w:bCs/>
                <w:sz w:val="16"/>
                <w:szCs w:val="16"/>
              </w:rPr>
            </w:pPr>
            <w:r w:rsidRPr="007968C5">
              <w:rPr>
                <w:b/>
                <w:bCs/>
                <w:sz w:val="16"/>
                <w:szCs w:val="16"/>
              </w:rPr>
              <w:t>Red. broj</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2F79489E" w14:textId="77777777" w:rsidR="007968C5" w:rsidRPr="007968C5" w:rsidRDefault="007968C5" w:rsidP="007968C5">
            <w:pPr>
              <w:jc w:val="center"/>
              <w:rPr>
                <w:b/>
                <w:bCs/>
                <w:sz w:val="16"/>
                <w:szCs w:val="16"/>
              </w:rPr>
            </w:pPr>
            <w:r w:rsidRPr="007968C5">
              <w:rPr>
                <w:b/>
                <w:bCs/>
                <w:sz w:val="16"/>
                <w:szCs w:val="16"/>
              </w:rPr>
              <w:t>Naziv</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AE396CF" w14:textId="77777777" w:rsidR="007968C5" w:rsidRPr="007968C5" w:rsidRDefault="007968C5" w:rsidP="007968C5">
            <w:pPr>
              <w:jc w:val="center"/>
              <w:rPr>
                <w:b/>
                <w:bCs/>
                <w:sz w:val="16"/>
                <w:szCs w:val="16"/>
              </w:rPr>
            </w:pPr>
            <w:r w:rsidRPr="007968C5">
              <w:rPr>
                <w:b/>
                <w:bCs/>
                <w:sz w:val="16"/>
                <w:szCs w:val="16"/>
              </w:rPr>
              <w:t>Valuta</w:t>
            </w:r>
          </w:p>
        </w:tc>
        <w:tc>
          <w:tcPr>
            <w:tcW w:w="1780" w:type="dxa"/>
            <w:tcBorders>
              <w:top w:val="single" w:sz="4" w:space="0" w:color="auto"/>
              <w:left w:val="nil"/>
              <w:bottom w:val="nil"/>
              <w:right w:val="single" w:sz="4" w:space="0" w:color="auto"/>
            </w:tcBorders>
            <w:shd w:val="clear" w:color="auto" w:fill="auto"/>
            <w:vAlign w:val="center"/>
            <w:hideMark/>
          </w:tcPr>
          <w:p w14:paraId="681D72FD" w14:textId="77777777" w:rsidR="007968C5" w:rsidRPr="007968C5" w:rsidRDefault="007968C5" w:rsidP="007968C5">
            <w:pPr>
              <w:jc w:val="center"/>
              <w:rPr>
                <w:b/>
                <w:bCs/>
                <w:sz w:val="16"/>
                <w:szCs w:val="16"/>
              </w:rPr>
            </w:pPr>
            <w:r w:rsidRPr="007968C5">
              <w:rPr>
                <w:b/>
                <w:bCs/>
                <w:sz w:val="16"/>
                <w:szCs w:val="16"/>
              </w:rPr>
              <w:t>Stanje obveza na 31.12.2024.</w:t>
            </w:r>
          </w:p>
        </w:tc>
      </w:tr>
      <w:tr w:rsidR="007968C5" w:rsidRPr="007968C5" w14:paraId="5F3B2B7A"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A02DB1" w14:textId="77777777" w:rsidR="007968C5" w:rsidRPr="007968C5" w:rsidRDefault="007968C5" w:rsidP="007968C5">
            <w:pPr>
              <w:jc w:val="center"/>
              <w:rPr>
                <w:sz w:val="16"/>
                <w:szCs w:val="16"/>
              </w:rPr>
            </w:pPr>
            <w:r w:rsidRPr="007968C5">
              <w:rPr>
                <w:sz w:val="16"/>
                <w:szCs w:val="16"/>
              </w:rPr>
              <w:t>1.</w:t>
            </w:r>
          </w:p>
        </w:tc>
        <w:tc>
          <w:tcPr>
            <w:tcW w:w="3800" w:type="dxa"/>
            <w:tcBorders>
              <w:top w:val="nil"/>
              <w:left w:val="nil"/>
              <w:bottom w:val="nil"/>
              <w:right w:val="single" w:sz="4" w:space="0" w:color="auto"/>
            </w:tcBorders>
            <w:shd w:val="clear" w:color="auto" w:fill="auto"/>
            <w:noWrap/>
            <w:vAlign w:val="bottom"/>
            <w:hideMark/>
          </w:tcPr>
          <w:p w14:paraId="3D05A835" w14:textId="77777777" w:rsidR="007968C5" w:rsidRPr="007968C5" w:rsidRDefault="007968C5" w:rsidP="007968C5">
            <w:pPr>
              <w:rPr>
                <w:sz w:val="16"/>
                <w:szCs w:val="16"/>
              </w:rPr>
            </w:pPr>
            <w:r w:rsidRPr="007968C5">
              <w:rPr>
                <w:sz w:val="16"/>
                <w:szCs w:val="16"/>
              </w:rPr>
              <w:t>Obveznice - Serija 20 D-25, 257A</w:t>
            </w:r>
          </w:p>
        </w:tc>
        <w:tc>
          <w:tcPr>
            <w:tcW w:w="1800" w:type="dxa"/>
            <w:tcBorders>
              <w:top w:val="nil"/>
              <w:left w:val="nil"/>
              <w:bottom w:val="nil"/>
              <w:right w:val="single" w:sz="4" w:space="0" w:color="auto"/>
            </w:tcBorders>
            <w:shd w:val="clear" w:color="auto" w:fill="auto"/>
            <w:noWrap/>
            <w:vAlign w:val="bottom"/>
            <w:hideMark/>
          </w:tcPr>
          <w:p w14:paraId="1D12C8FB" w14:textId="77777777" w:rsidR="007968C5" w:rsidRPr="007968C5" w:rsidRDefault="007968C5" w:rsidP="007968C5">
            <w:pPr>
              <w:jc w:val="center"/>
              <w:rPr>
                <w:sz w:val="16"/>
                <w:szCs w:val="16"/>
              </w:rPr>
            </w:pPr>
            <w:r w:rsidRPr="007968C5">
              <w:rPr>
                <w:sz w:val="16"/>
                <w:szCs w:val="16"/>
              </w:rPr>
              <w:t>EUR</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74B502D9" w14:textId="77777777" w:rsidR="007968C5" w:rsidRPr="007968C5" w:rsidRDefault="007968C5" w:rsidP="007968C5">
            <w:pPr>
              <w:jc w:val="right"/>
              <w:rPr>
                <w:sz w:val="16"/>
                <w:szCs w:val="16"/>
              </w:rPr>
            </w:pPr>
            <w:r w:rsidRPr="007968C5">
              <w:rPr>
                <w:sz w:val="16"/>
                <w:szCs w:val="16"/>
              </w:rPr>
              <w:t>796.336.850,14</w:t>
            </w:r>
          </w:p>
        </w:tc>
      </w:tr>
      <w:tr w:rsidR="007968C5" w:rsidRPr="007968C5" w14:paraId="442A3846"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FFCFD8" w14:textId="77777777" w:rsidR="007968C5" w:rsidRPr="007968C5" w:rsidRDefault="007968C5" w:rsidP="007968C5">
            <w:pPr>
              <w:jc w:val="center"/>
              <w:rPr>
                <w:sz w:val="16"/>
                <w:szCs w:val="16"/>
              </w:rPr>
            </w:pPr>
            <w:r w:rsidRPr="007968C5">
              <w:rPr>
                <w:sz w:val="16"/>
                <w:szCs w:val="16"/>
              </w:rPr>
              <w:t>2.</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14:paraId="1FD57A39" w14:textId="77777777" w:rsidR="007968C5" w:rsidRPr="007968C5" w:rsidRDefault="007968C5" w:rsidP="007968C5">
            <w:pPr>
              <w:rPr>
                <w:sz w:val="16"/>
                <w:szCs w:val="16"/>
              </w:rPr>
            </w:pPr>
            <w:r w:rsidRPr="007968C5">
              <w:rPr>
                <w:sz w:val="16"/>
                <w:szCs w:val="16"/>
              </w:rPr>
              <w:t>Obveznice - Serija 21 D-26, 26CA</w:t>
            </w:r>
          </w:p>
        </w:tc>
        <w:tc>
          <w:tcPr>
            <w:tcW w:w="1800" w:type="dxa"/>
            <w:tcBorders>
              <w:top w:val="single" w:sz="4" w:space="0" w:color="auto"/>
              <w:left w:val="nil"/>
              <w:bottom w:val="nil"/>
              <w:right w:val="single" w:sz="4" w:space="0" w:color="auto"/>
            </w:tcBorders>
            <w:shd w:val="clear" w:color="auto" w:fill="auto"/>
            <w:noWrap/>
            <w:vAlign w:val="bottom"/>
            <w:hideMark/>
          </w:tcPr>
          <w:p w14:paraId="5BBE8DC9" w14:textId="77777777" w:rsidR="007968C5" w:rsidRPr="007968C5" w:rsidRDefault="007968C5" w:rsidP="007968C5">
            <w:pPr>
              <w:jc w:val="center"/>
              <w:rPr>
                <w:sz w:val="16"/>
                <w:szCs w:val="16"/>
              </w:rPr>
            </w:pPr>
            <w:r w:rsidRPr="007968C5">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385230E3" w14:textId="77777777" w:rsidR="007968C5" w:rsidRPr="007968C5" w:rsidRDefault="007968C5" w:rsidP="007968C5">
            <w:pPr>
              <w:jc w:val="right"/>
              <w:rPr>
                <w:sz w:val="16"/>
                <w:szCs w:val="16"/>
              </w:rPr>
            </w:pPr>
            <w:r w:rsidRPr="007968C5">
              <w:rPr>
                <w:sz w:val="16"/>
                <w:szCs w:val="16"/>
              </w:rPr>
              <w:t>1.653.726.192,40</w:t>
            </w:r>
          </w:p>
        </w:tc>
      </w:tr>
      <w:tr w:rsidR="007968C5" w:rsidRPr="007968C5" w14:paraId="6B9AE4B8"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BDBE08" w14:textId="77777777" w:rsidR="007968C5" w:rsidRPr="007968C5" w:rsidRDefault="007968C5" w:rsidP="007968C5">
            <w:pPr>
              <w:jc w:val="center"/>
              <w:rPr>
                <w:sz w:val="16"/>
                <w:szCs w:val="16"/>
              </w:rPr>
            </w:pPr>
            <w:r w:rsidRPr="007968C5">
              <w:rPr>
                <w:sz w:val="16"/>
                <w:szCs w:val="16"/>
              </w:rPr>
              <w:t>3.</w:t>
            </w:r>
          </w:p>
        </w:tc>
        <w:tc>
          <w:tcPr>
            <w:tcW w:w="3800" w:type="dxa"/>
            <w:tcBorders>
              <w:top w:val="nil"/>
              <w:left w:val="nil"/>
              <w:bottom w:val="single" w:sz="4" w:space="0" w:color="auto"/>
              <w:right w:val="single" w:sz="4" w:space="0" w:color="auto"/>
            </w:tcBorders>
            <w:shd w:val="clear" w:color="auto" w:fill="auto"/>
            <w:noWrap/>
            <w:vAlign w:val="bottom"/>
            <w:hideMark/>
          </w:tcPr>
          <w:p w14:paraId="64300242" w14:textId="77777777" w:rsidR="007968C5" w:rsidRPr="007968C5" w:rsidRDefault="007968C5" w:rsidP="007968C5">
            <w:pPr>
              <w:rPr>
                <w:sz w:val="16"/>
                <w:szCs w:val="16"/>
              </w:rPr>
            </w:pPr>
            <w:r w:rsidRPr="007968C5">
              <w:rPr>
                <w:sz w:val="16"/>
                <w:szCs w:val="16"/>
              </w:rPr>
              <w:t>Obveznice - Serija 24 D-28, 282A</w:t>
            </w:r>
          </w:p>
        </w:tc>
        <w:tc>
          <w:tcPr>
            <w:tcW w:w="1800" w:type="dxa"/>
            <w:tcBorders>
              <w:top w:val="single" w:sz="4" w:space="0" w:color="auto"/>
              <w:left w:val="nil"/>
              <w:bottom w:val="nil"/>
              <w:right w:val="single" w:sz="4" w:space="0" w:color="auto"/>
            </w:tcBorders>
            <w:shd w:val="clear" w:color="auto" w:fill="auto"/>
            <w:noWrap/>
            <w:vAlign w:val="bottom"/>
            <w:hideMark/>
          </w:tcPr>
          <w:p w14:paraId="20D39783" w14:textId="77777777" w:rsidR="007968C5" w:rsidRPr="007968C5" w:rsidRDefault="007968C5" w:rsidP="007968C5">
            <w:pPr>
              <w:jc w:val="center"/>
              <w:rPr>
                <w:sz w:val="16"/>
                <w:szCs w:val="16"/>
              </w:rPr>
            </w:pPr>
            <w:r w:rsidRPr="007968C5">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706847E4" w14:textId="77777777" w:rsidR="007968C5" w:rsidRPr="007968C5" w:rsidRDefault="007968C5" w:rsidP="007968C5">
            <w:pPr>
              <w:jc w:val="right"/>
              <w:rPr>
                <w:sz w:val="16"/>
                <w:szCs w:val="16"/>
              </w:rPr>
            </w:pPr>
            <w:r w:rsidRPr="007968C5">
              <w:rPr>
                <w:sz w:val="16"/>
                <w:szCs w:val="16"/>
              </w:rPr>
              <w:t>1.073.727.519,76</w:t>
            </w:r>
          </w:p>
        </w:tc>
      </w:tr>
      <w:tr w:rsidR="007968C5" w:rsidRPr="007968C5" w14:paraId="38FB4AF8"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456074" w14:textId="77777777" w:rsidR="007968C5" w:rsidRPr="007968C5" w:rsidRDefault="007968C5" w:rsidP="007968C5">
            <w:pPr>
              <w:jc w:val="center"/>
              <w:rPr>
                <w:sz w:val="16"/>
                <w:szCs w:val="16"/>
              </w:rPr>
            </w:pPr>
            <w:r w:rsidRPr="007968C5">
              <w:rPr>
                <w:sz w:val="16"/>
                <w:szCs w:val="16"/>
              </w:rPr>
              <w:t>4.</w:t>
            </w:r>
          </w:p>
        </w:tc>
        <w:tc>
          <w:tcPr>
            <w:tcW w:w="3800" w:type="dxa"/>
            <w:tcBorders>
              <w:top w:val="nil"/>
              <w:left w:val="nil"/>
              <w:bottom w:val="single" w:sz="4" w:space="0" w:color="auto"/>
              <w:right w:val="single" w:sz="4" w:space="0" w:color="auto"/>
            </w:tcBorders>
            <w:shd w:val="clear" w:color="auto" w:fill="auto"/>
            <w:noWrap/>
            <w:vAlign w:val="bottom"/>
            <w:hideMark/>
          </w:tcPr>
          <w:p w14:paraId="7092147C" w14:textId="77777777" w:rsidR="007968C5" w:rsidRPr="007968C5" w:rsidRDefault="007968C5" w:rsidP="007968C5">
            <w:pPr>
              <w:rPr>
                <w:sz w:val="16"/>
                <w:szCs w:val="16"/>
              </w:rPr>
            </w:pPr>
            <w:r w:rsidRPr="007968C5">
              <w:rPr>
                <w:sz w:val="16"/>
                <w:szCs w:val="16"/>
              </w:rPr>
              <w:t>Obveznice - Serija 25 D-32 I., 327A</w:t>
            </w:r>
          </w:p>
        </w:tc>
        <w:tc>
          <w:tcPr>
            <w:tcW w:w="1800" w:type="dxa"/>
            <w:tcBorders>
              <w:top w:val="single" w:sz="4" w:space="0" w:color="auto"/>
              <w:left w:val="nil"/>
              <w:bottom w:val="nil"/>
              <w:right w:val="single" w:sz="4" w:space="0" w:color="auto"/>
            </w:tcBorders>
            <w:shd w:val="clear" w:color="auto" w:fill="auto"/>
            <w:noWrap/>
            <w:vAlign w:val="bottom"/>
            <w:hideMark/>
          </w:tcPr>
          <w:p w14:paraId="2F28CACA" w14:textId="77777777" w:rsidR="007968C5" w:rsidRPr="007968C5" w:rsidRDefault="007968C5" w:rsidP="007968C5">
            <w:pPr>
              <w:jc w:val="center"/>
              <w:rPr>
                <w:sz w:val="16"/>
                <w:szCs w:val="16"/>
              </w:rPr>
            </w:pPr>
            <w:r w:rsidRPr="007968C5">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4AF87708" w14:textId="77777777" w:rsidR="007968C5" w:rsidRPr="007968C5" w:rsidRDefault="007968C5" w:rsidP="007968C5">
            <w:pPr>
              <w:jc w:val="right"/>
              <w:rPr>
                <w:sz w:val="16"/>
                <w:szCs w:val="16"/>
              </w:rPr>
            </w:pPr>
            <w:r w:rsidRPr="007968C5">
              <w:rPr>
                <w:sz w:val="16"/>
                <w:szCs w:val="16"/>
              </w:rPr>
              <w:t>405.039.501,12</w:t>
            </w:r>
          </w:p>
        </w:tc>
      </w:tr>
      <w:tr w:rsidR="007968C5" w:rsidRPr="007968C5" w14:paraId="12ACE1CF"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77D680" w14:textId="77777777" w:rsidR="007968C5" w:rsidRPr="007968C5" w:rsidRDefault="007968C5" w:rsidP="007968C5">
            <w:pPr>
              <w:jc w:val="center"/>
              <w:rPr>
                <w:sz w:val="16"/>
                <w:szCs w:val="16"/>
              </w:rPr>
            </w:pPr>
            <w:r w:rsidRPr="007968C5">
              <w:rPr>
                <w:sz w:val="16"/>
                <w:szCs w:val="16"/>
              </w:rPr>
              <w:t>5.</w:t>
            </w:r>
          </w:p>
        </w:tc>
        <w:tc>
          <w:tcPr>
            <w:tcW w:w="3800" w:type="dxa"/>
            <w:tcBorders>
              <w:top w:val="nil"/>
              <w:left w:val="nil"/>
              <w:bottom w:val="single" w:sz="4" w:space="0" w:color="auto"/>
              <w:right w:val="single" w:sz="4" w:space="0" w:color="auto"/>
            </w:tcBorders>
            <w:shd w:val="clear" w:color="auto" w:fill="auto"/>
            <w:noWrap/>
            <w:vAlign w:val="bottom"/>
            <w:hideMark/>
          </w:tcPr>
          <w:p w14:paraId="5F6CAE23" w14:textId="77777777" w:rsidR="007968C5" w:rsidRPr="007968C5" w:rsidRDefault="007968C5" w:rsidP="007968C5">
            <w:pPr>
              <w:rPr>
                <w:sz w:val="16"/>
                <w:szCs w:val="16"/>
              </w:rPr>
            </w:pPr>
            <w:r w:rsidRPr="007968C5">
              <w:rPr>
                <w:sz w:val="16"/>
                <w:szCs w:val="16"/>
              </w:rPr>
              <w:t>Obveznice - Serija 27 D-29, 297A</w:t>
            </w:r>
          </w:p>
        </w:tc>
        <w:tc>
          <w:tcPr>
            <w:tcW w:w="1800" w:type="dxa"/>
            <w:tcBorders>
              <w:top w:val="single" w:sz="4" w:space="0" w:color="auto"/>
              <w:left w:val="nil"/>
              <w:bottom w:val="nil"/>
              <w:right w:val="single" w:sz="4" w:space="0" w:color="auto"/>
            </w:tcBorders>
            <w:shd w:val="clear" w:color="auto" w:fill="auto"/>
            <w:noWrap/>
            <w:vAlign w:val="bottom"/>
            <w:hideMark/>
          </w:tcPr>
          <w:p w14:paraId="6761530C" w14:textId="77777777" w:rsidR="007968C5" w:rsidRPr="007968C5" w:rsidRDefault="007968C5" w:rsidP="007968C5">
            <w:pPr>
              <w:jc w:val="center"/>
              <w:rPr>
                <w:sz w:val="16"/>
                <w:szCs w:val="16"/>
              </w:rPr>
            </w:pPr>
            <w:r w:rsidRPr="007968C5">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1BBBE780" w14:textId="77777777" w:rsidR="007968C5" w:rsidRPr="007968C5" w:rsidRDefault="007968C5" w:rsidP="007968C5">
            <w:pPr>
              <w:jc w:val="right"/>
              <w:rPr>
                <w:sz w:val="16"/>
                <w:szCs w:val="16"/>
              </w:rPr>
            </w:pPr>
            <w:r w:rsidRPr="007968C5">
              <w:rPr>
                <w:sz w:val="16"/>
                <w:szCs w:val="16"/>
              </w:rPr>
              <w:t>1.327.228.083,70</w:t>
            </w:r>
          </w:p>
        </w:tc>
      </w:tr>
      <w:tr w:rsidR="007968C5" w:rsidRPr="007968C5" w14:paraId="78D5F883"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5F808B" w14:textId="77777777" w:rsidR="007968C5" w:rsidRPr="007968C5" w:rsidRDefault="007968C5" w:rsidP="007968C5">
            <w:pPr>
              <w:jc w:val="center"/>
              <w:rPr>
                <w:sz w:val="16"/>
                <w:szCs w:val="16"/>
              </w:rPr>
            </w:pPr>
            <w:r w:rsidRPr="007968C5">
              <w:rPr>
                <w:sz w:val="16"/>
                <w:szCs w:val="16"/>
              </w:rPr>
              <w:t>6.</w:t>
            </w:r>
          </w:p>
        </w:tc>
        <w:tc>
          <w:tcPr>
            <w:tcW w:w="3800" w:type="dxa"/>
            <w:tcBorders>
              <w:top w:val="nil"/>
              <w:left w:val="nil"/>
              <w:bottom w:val="single" w:sz="4" w:space="0" w:color="auto"/>
              <w:right w:val="single" w:sz="4" w:space="0" w:color="auto"/>
            </w:tcBorders>
            <w:shd w:val="clear" w:color="auto" w:fill="auto"/>
            <w:noWrap/>
            <w:vAlign w:val="bottom"/>
            <w:hideMark/>
          </w:tcPr>
          <w:p w14:paraId="23D30CC5" w14:textId="77777777" w:rsidR="007968C5" w:rsidRPr="007968C5" w:rsidRDefault="007968C5" w:rsidP="007968C5">
            <w:pPr>
              <w:rPr>
                <w:sz w:val="16"/>
                <w:szCs w:val="16"/>
              </w:rPr>
            </w:pPr>
            <w:r w:rsidRPr="007968C5">
              <w:rPr>
                <w:sz w:val="16"/>
                <w:szCs w:val="16"/>
              </w:rPr>
              <w:t>Obveznice - Serija 30 D-34 I., 34BA</w:t>
            </w:r>
          </w:p>
        </w:tc>
        <w:tc>
          <w:tcPr>
            <w:tcW w:w="1800" w:type="dxa"/>
            <w:tcBorders>
              <w:top w:val="single" w:sz="4" w:space="0" w:color="auto"/>
              <w:left w:val="nil"/>
              <w:bottom w:val="nil"/>
              <w:right w:val="single" w:sz="4" w:space="0" w:color="auto"/>
            </w:tcBorders>
            <w:shd w:val="clear" w:color="auto" w:fill="auto"/>
            <w:noWrap/>
            <w:vAlign w:val="bottom"/>
            <w:hideMark/>
          </w:tcPr>
          <w:p w14:paraId="729DA4D9" w14:textId="77777777" w:rsidR="007968C5" w:rsidRPr="007968C5" w:rsidRDefault="007968C5" w:rsidP="007968C5">
            <w:pPr>
              <w:jc w:val="center"/>
              <w:rPr>
                <w:sz w:val="16"/>
                <w:szCs w:val="16"/>
              </w:rPr>
            </w:pPr>
            <w:r w:rsidRPr="007968C5">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24CA1D62" w14:textId="77777777" w:rsidR="007968C5" w:rsidRPr="007968C5" w:rsidRDefault="007968C5" w:rsidP="007968C5">
            <w:pPr>
              <w:jc w:val="right"/>
              <w:rPr>
                <w:sz w:val="16"/>
                <w:szCs w:val="16"/>
              </w:rPr>
            </w:pPr>
            <w:r w:rsidRPr="007968C5">
              <w:rPr>
                <w:sz w:val="16"/>
                <w:szCs w:val="16"/>
              </w:rPr>
              <w:t>1.547.331.109,44</w:t>
            </w:r>
          </w:p>
        </w:tc>
      </w:tr>
      <w:tr w:rsidR="007968C5" w:rsidRPr="007968C5" w14:paraId="50AD9610"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ABB778" w14:textId="77777777" w:rsidR="007968C5" w:rsidRPr="007968C5" w:rsidRDefault="007968C5" w:rsidP="007968C5">
            <w:pPr>
              <w:jc w:val="center"/>
              <w:rPr>
                <w:sz w:val="16"/>
                <w:szCs w:val="16"/>
              </w:rPr>
            </w:pPr>
            <w:r w:rsidRPr="007968C5">
              <w:rPr>
                <w:sz w:val="16"/>
                <w:szCs w:val="16"/>
              </w:rPr>
              <w:t>7.</w:t>
            </w:r>
          </w:p>
        </w:tc>
        <w:tc>
          <w:tcPr>
            <w:tcW w:w="3800" w:type="dxa"/>
            <w:tcBorders>
              <w:top w:val="nil"/>
              <w:left w:val="nil"/>
              <w:bottom w:val="single" w:sz="4" w:space="0" w:color="auto"/>
              <w:right w:val="single" w:sz="4" w:space="0" w:color="auto"/>
            </w:tcBorders>
            <w:shd w:val="clear" w:color="auto" w:fill="auto"/>
            <w:noWrap/>
            <w:vAlign w:val="bottom"/>
            <w:hideMark/>
          </w:tcPr>
          <w:p w14:paraId="2DAA566E" w14:textId="77777777" w:rsidR="007968C5" w:rsidRPr="007968C5" w:rsidRDefault="007968C5" w:rsidP="007968C5">
            <w:pPr>
              <w:rPr>
                <w:sz w:val="16"/>
                <w:szCs w:val="16"/>
              </w:rPr>
            </w:pPr>
            <w:r w:rsidRPr="007968C5">
              <w:rPr>
                <w:sz w:val="16"/>
                <w:szCs w:val="16"/>
              </w:rPr>
              <w:t>Obveznice - Serija 31 D-40, 403E</w:t>
            </w:r>
          </w:p>
        </w:tc>
        <w:tc>
          <w:tcPr>
            <w:tcW w:w="1800" w:type="dxa"/>
            <w:tcBorders>
              <w:top w:val="single" w:sz="4" w:space="0" w:color="auto"/>
              <w:left w:val="nil"/>
              <w:bottom w:val="nil"/>
              <w:right w:val="single" w:sz="4" w:space="0" w:color="auto"/>
            </w:tcBorders>
            <w:shd w:val="clear" w:color="auto" w:fill="auto"/>
            <w:noWrap/>
            <w:vAlign w:val="bottom"/>
            <w:hideMark/>
          </w:tcPr>
          <w:p w14:paraId="7AC279A6" w14:textId="77777777" w:rsidR="007968C5" w:rsidRPr="007968C5" w:rsidRDefault="007968C5" w:rsidP="007968C5">
            <w:pPr>
              <w:jc w:val="center"/>
              <w:rPr>
                <w:sz w:val="16"/>
                <w:szCs w:val="16"/>
              </w:rPr>
            </w:pPr>
            <w:r w:rsidRPr="007968C5">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11C1BE48" w14:textId="77777777" w:rsidR="007968C5" w:rsidRPr="007968C5" w:rsidRDefault="007968C5" w:rsidP="007968C5">
            <w:pPr>
              <w:jc w:val="right"/>
              <w:rPr>
                <w:sz w:val="16"/>
                <w:szCs w:val="16"/>
              </w:rPr>
            </w:pPr>
            <w:r w:rsidRPr="007968C5">
              <w:rPr>
                <w:sz w:val="16"/>
                <w:szCs w:val="16"/>
              </w:rPr>
              <w:t>800.000.000,00</w:t>
            </w:r>
          </w:p>
        </w:tc>
      </w:tr>
      <w:tr w:rsidR="007968C5" w:rsidRPr="007968C5" w14:paraId="270A14F8"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62CFB6" w14:textId="77777777" w:rsidR="007968C5" w:rsidRPr="007968C5" w:rsidRDefault="007968C5" w:rsidP="007968C5">
            <w:pPr>
              <w:jc w:val="center"/>
              <w:rPr>
                <w:sz w:val="16"/>
                <w:szCs w:val="16"/>
              </w:rPr>
            </w:pPr>
            <w:r w:rsidRPr="007968C5">
              <w:rPr>
                <w:sz w:val="16"/>
                <w:szCs w:val="16"/>
              </w:rPr>
              <w:t>8.</w:t>
            </w:r>
          </w:p>
        </w:tc>
        <w:tc>
          <w:tcPr>
            <w:tcW w:w="3800" w:type="dxa"/>
            <w:tcBorders>
              <w:top w:val="nil"/>
              <w:left w:val="nil"/>
              <w:bottom w:val="single" w:sz="4" w:space="0" w:color="auto"/>
              <w:right w:val="single" w:sz="4" w:space="0" w:color="auto"/>
            </w:tcBorders>
            <w:shd w:val="clear" w:color="auto" w:fill="auto"/>
            <w:noWrap/>
            <w:vAlign w:val="bottom"/>
            <w:hideMark/>
          </w:tcPr>
          <w:p w14:paraId="1FC7422D" w14:textId="77777777" w:rsidR="007968C5" w:rsidRPr="007968C5" w:rsidRDefault="007968C5" w:rsidP="007968C5">
            <w:pPr>
              <w:rPr>
                <w:sz w:val="16"/>
                <w:szCs w:val="16"/>
              </w:rPr>
            </w:pPr>
            <w:r w:rsidRPr="007968C5">
              <w:rPr>
                <w:sz w:val="16"/>
                <w:szCs w:val="16"/>
              </w:rPr>
              <w:t>Obveznice - Serija 32 D-25, 253A</w:t>
            </w:r>
          </w:p>
        </w:tc>
        <w:tc>
          <w:tcPr>
            <w:tcW w:w="1800" w:type="dxa"/>
            <w:tcBorders>
              <w:top w:val="single" w:sz="4" w:space="0" w:color="auto"/>
              <w:left w:val="nil"/>
              <w:bottom w:val="nil"/>
              <w:right w:val="single" w:sz="4" w:space="0" w:color="auto"/>
            </w:tcBorders>
            <w:shd w:val="clear" w:color="auto" w:fill="auto"/>
            <w:noWrap/>
            <w:vAlign w:val="bottom"/>
            <w:hideMark/>
          </w:tcPr>
          <w:p w14:paraId="3A426FA5" w14:textId="77777777" w:rsidR="007968C5" w:rsidRPr="007968C5" w:rsidRDefault="007968C5" w:rsidP="007968C5">
            <w:pPr>
              <w:jc w:val="center"/>
              <w:rPr>
                <w:sz w:val="16"/>
                <w:szCs w:val="16"/>
              </w:rPr>
            </w:pPr>
            <w:r w:rsidRPr="007968C5">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21C1E8BB" w14:textId="77777777" w:rsidR="007968C5" w:rsidRPr="007968C5" w:rsidRDefault="007968C5" w:rsidP="007968C5">
            <w:pPr>
              <w:jc w:val="right"/>
              <w:rPr>
                <w:sz w:val="16"/>
                <w:szCs w:val="16"/>
              </w:rPr>
            </w:pPr>
            <w:r w:rsidRPr="007968C5">
              <w:rPr>
                <w:sz w:val="16"/>
                <w:szCs w:val="16"/>
              </w:rPr>
              <w:t>663.614.041,83</w:t>
            </w:r>
          </w:p>
        </w:tc>
      </w:tr>
      <w:tr w:rsidR="007968C5" w:rsidRPr="007968C5" w14:paraId="494895CB"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D32910" w14:textId="77777777" w:rsidR="007968C5" w:rsidRPr="007968C5" w:rsidRDefault="007968C5" w:rsidP="007968C5">
            <w:pPr>
              <w:jc w:val="center"/>
              <w:rPr>
                <w:sz w:val="16"/>
                <w:szCs w:val="16"/>
              </w:rPr>
            </w:pPr>
            <w:r w:rsidRPr="007968C5">
              <w:rPr>
                <w:sz w:val="16"/>
                <w:szCs w:val="16"/>
              </w:rPr>
              <w:t>9.</w:t>
            </w:r>
          </w:p>
        </w:tc>
        <w:tc>
          <w:tcPr>
            <w:tcW w:w="3800" w:type="dxa"/>
            <w:tcBorders>
              <w:top w:val="nil"/>
              <w:left w:val="nil"/>
              <w:bottom w:val="single" w:sz="4" w:space="0" w:color="auto"/>
              <w:right w:val="single" w:sz="4" w:space="0" w:color="auto"/>
            </w:tcBorders>
            <w:shd w:val="clear" w:color="auto" w:fill="auto"/>
            <w:noWrap/>
            <w:vAlign w:val="bottom"/>
            <w:hideMark/>
          </w:tcPr>
          <w:p w14:paraId="67DB22C7" w14:textId="77777777" w:rsidR="007968C5" w:rsidRPr="007968C5" w:rsidRDefault="007968C5" w:rsidP="007968C5">
            <w:pPr>
              <w:rPr>
                <w:sz w:val="16"/>
                <w:szCs w:val="16"/>
              </w:rPr>
            </w:pPr>
            <w:r w:rsidRPr="007968C5">
              <w:rPr>
                <w:sz w:val="16"/>
                <w:szCs w:val="16"/>
              </w:rPr>
              <w:t>Obveznice - Serija 33 D-27, 275E</w:t>
            </w:r>
          </w:p>
        </w:tc>
        <w:tc>
          <w:tcPr>
            <w:tcW w:w="1800" w:type="dxa"/>
            <w:tcBorders>
              <w:top w:val="single" w:sz="4" w:space="0" w:color="auto"/>
              <w:left w:val="nil"/>
              <w:bottom w:val="nil"/>
              <w:right w:val="single" w:sz="4" w:space="0" w:color="auto"/>
            </w:tcBorders>
            <w:shd w:val="clear" w:color="auto" w:fill="auto"/>
            <w:noWrap/>
            <w:vAlign w:val="bottom"/>
            <w:hideMark/>
          </w:tcPr>
          <w:p w14:paraId="5CD20F92" w14:textId="77777777" w:rsidR="007968C5" w:rsidRPr="007968C5" w:rsidRDefault="007968C5" w:rsidP="007968C5">
            <w:pPr>
              <w:jc w:val="center"/>
              <w:rPr>
                <w:sz w:val="16"/>
                <w:szCs w:val="16"/>
              </w:rPr>
            </w:pPr>
            <w:r w:rsidRPr="007968C5">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01AC47BC" w14:textId="77777777" w:rsidR="007968C5" w:rsidRPr="007968C5" w:rsidRDefault="007968C5" w:rsidP="007968C5">
            <w:pPr>
              <w:jc w:val="right"/>
              <w:rPr>
                <w:sz w:val="16"/>
                <w:szCs w:val="16"/>
              </w:rPr>
            </w:pPr>
            <w:r w:rsidRPr="007968C5">
              <w:rPr>
                <w:sz w:val="16"/>
                <w:szCs w:val="16"/>
              </w:rPr>
              <w:t>1.445.000.000,00</w:t>
            </w:r>
          </w:p>
        </w:tc>
      </w:tr>
      <w:tr w:rsidR="007968C5" w:rsidRPr="007968C5" w14:paraId="3203B2F1"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A763D2" w14:textId="77777777" w:rsidR="007968C5" w:rsidRPr="007968C5" w:rsidRDefault="007968C5" w:rsidP="007968C5">
            <w:pPr>
              <w:jc w:val="center"/>
              <w:rPr>
                <w:sz w:val="16"/>
                <w:szCs w:val="16"/>
              </w:rPr>
            </w:pPr>
            <w:r w:rsidRPr="007968C5">
              <w:rPr>
                <w:sz w:val="16"/>
                <w:szCs w:val="16"/>
              </w:rPr>
              <w:t>10.</w:t>
            </w:r>
          </w:p>
        </w:tc>
        <w:tc>
          <w:tcPr>
            <w:tcW w:w="3800" w:type="dxa"/>
            <w:tcBorders>
              <w:top w:val="nil"/>
              <w:left w:val="nil"/>
              <w:bottom w:val="single" w:sz="4" w:space="0" w:color="auto"/>
              <w:right w:val="single" w:sz="4" w:space="0" w:color="auto"/>
            </w:tcBorders>
            <w:shd w:val="clear" w:color="auto" w:fill="auto"/>
            <w:noWrap/>
            <w:vAlign w:val="bottom"/>
            <w:hideMark/>
          </w:tcPr>
          <w:p w14:paraId="30AD15F4" w14:textId="77777777" w:rsidR="007968C5" w:rsidRPr="007968C5" w:rsidRDefault="007968C5" w:rsidP="007968C5">
            <w:pPr>
              <w:rPr>
                <w:sz w:val="16"/>
                <w:szCs w:val="16"/>
              </w:rPr>
            </w:pPr>
            <w:r w:rsidRPr="007968C5">
              <w:rPr>
                <w:sz w:val="16"/>
                <w:szCs w:val="16"/>
              </w:rPr>
              <w:t>Obveznice - Serija 34 D-28, 287A</w:t>
            </w:r>
          </w:p>
        </w:tc>
        <w:tc>
          <w:tcPr>
            <w:tcW w:w="1800" w:type="dxa"/>
            <w:tcBorders>
              <w:top w:val="single" w:sz="4" w:space="0" w:color="auto"/>
              <w:left w:val="nil"/>
              <w:bottom w:val="nil"/>
              <w:right w:val="single" w:sz="4" w:space="0" w:color="auto"/>
            </w:tcBorders>
            <w:shd w:val="clear" w:color="auto" w:fill="auto"/>
            <w:noWrap/>
            <w:vAlign w:val="bottom"/>
            <w:hideMark/>
          </w:tcPr>
          <w:p w14:paraId="7B3000FD" w14:textId="77777777" w:rsidR="007968C5" w:rsidRPr="007968C5" w:rsidRDefault="007968C5" w:rsidP="007968C5">
            <w:pPr>
              <w:jc w:val="center"/>
              <w:rPr>
                <w:sz w:val="16"/>
                <w:szCs w:val="16"/>
              </w:rPr>
            </w:pPr>
            <w:r w:rsidRPr="007968C5">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7BA2DCF6" w14:textId="77777777" w:rsidR="007968C5" w:rsidRPr="007968C5" w:rsidRDefault="007968C5" w:rsidP="007968C5">
            <w:pPr>
              <w:jc w:val="right"/>
              <w:rPr>
                <w:sz w:val="16"/>
                <w:szCs w:val="16"/>
              </w:rPr>
            </w:pPr>
            <w:r w:rsidRPr="007968C5">
              <w:rPr>
                <w:sz w:val="16"/>
                <w:szCs w:val="16"/>
              </w:rPr>
              <w:t>1.194.505.275,36</w:t>
            </w:r>
          </w:p>
        </w:tc>
      </w:tr>
      <w:tr w:rsidR="007968C5" w:rsidRPr="007968C5" w14:paraId="241EB2CB"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F49ED7" w14:textId="77777777" w:rsidR="007968C5" w:rsidRPr="007968C5" w:rsidRDefault="007968C5" w:rsidP="007968C5">
            <w:pPr>
              <w:jc w:val="center"/>
              <w:rPr>
                <w:sz w:val="16"/>
                <w:szCs w:val="16"/>
              </w:rPr>
            </w:pPr>
            <w:r w:rsidRPr="007968C5">
              <w:rPr>
                <w:sz w:val="16"/>
                <w:szCs w:val="16"/>
              </w:rPr>
              <w:t>11.</w:t>
            </w:r>
          </w:p>
        </w:tc>
        <w:tc>
          <w:tcPr>
            <w:tcW w:w="3800" w:type="dxa"/>
            <w:tcBorders>
              <w:top w:val="nil"/>
              <w:left w:val="nil"/>
              <w:bottom w:val="single" w:sz="4" w:space="0" w:color="auto"/>
              <w:right w:val="single" w:sz="4" w:space="0" w:color="auto"/>
            </w:tcBorders>
            <w:shd w:val="clear" w:color="auto" w:fill="auto"/>
            <w:noWrap/>
            <w:vAlign w:val="bottom"/>
            <w:hideMark/>
          </w:tcPr>
          <w:p w14:paraId="0D7E8F67" w14:textId="77777777" w:rsidR="007968C5" w:rsidRPr="007968C5" w:rsidRDefault="007968C5" w:rsidP="007968C5">
            <w:pPr>
              <w:rPr>
                <w:sz w:val="16"/>
                <w:szCs w:val="16"/>
              </w:rPr>
            </w:pPr>
            <w:r w:rsidRPr="007968C5">
              <w:rPr>
                <w:sz w:val="16"/>
                <w:szCs w:val="16"/>
              </w:rPr>
              <w:t>Obveznice - Serija 35 D-30, 302E</w:t>
            </w:r>
          </w:p>
        </w:tc>
        <w:tc>
          <w:tcPr>
            <w:tcW w:w="1800" w:type="dxa"/>
            <w:tcBorders>
              <w:top w:val="single" w:sz="4" w:space="0" w:color="auto"/>
              <w:left w:val="nil"/>
              <w:bottom w:val="nil"/>
              <w:right w:val="single" w:sz="4" w:space="0" w:color="auto"/>
            </w:tcBorders>
            <w:shd w:val="clear" w:color="auto" w:fill="auto"/>
            <w:noWrap/>
            <w:vAlign w:val="bottom"/>
            <w:hideMark/>
          </w:tcPr>
          <w:p w14:paraId="4B50081B" w14:textId="77777777" w:rsidR="007968C5" w:rsidRPr="007968C5" w:rsidRDefault="007968C5" w:rsidP="007968C5">
            <w:pPr>
              <w:jc w:val="center"/>
              <w:rPr>
                <w:sz w:val="16"/>
                <w:szCs w:val="16"/>
              </w:rPr>
            </w:pPr>
            <w:r w:rsidRPr="007968C5">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5853DBA8" w14:textId="77777777" w:rsidR="007968C5" w:rsidRPr="007968C5" w:rsidRDefault="007968C5" w:rsidP="007968C5">
            <w:pPr>
              <w:jc w:val="right"/>
              <w:rPr>
                <w:sz w:val="16"/>
                <w:szCs w:val="16"/>
              </w:rPr>
            </w:pPr>
            <w:r w:rsidRPr="007968C5">
              <w:rPr>
                <w:sz w:val="16"/>
                <w:szCs w:val="16"/>
              </w:rPr>
              <w:t>1.000.000.000,00</w:t>
            </w:r>
          </w:p>
        </w:tc>
      </w:tr>
      <w:tr w:rsidR="007968C5" w:rsidRPr="007968C5" w14:paraId="6A7F5A56"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BDEBC3" w14:textId="77777777" w:rsidR="007968C5" w:rsidRPr="007968C5" w:rsidRDefault="007968C5" w:rsidP="007968C5">
            <w:pPr>
              <w:jc w:val="center"/>
              <w:rPr>
                <w:sz w:val="16"/>
                <w:szCs w:val="16"/>
              </w:rPr>
            </w:pPr>
            <w:r w:rsidRPr="007968C5">
              <w:rPr>
                <w:sz w:val="16"/>
                <w:szCs w:val="16"/>
              </w:rPr>
              <w:t>12.</w:t>
            </w:r>
          </w:p>
        </w:tc>
        <w:tc>
          <w:tcPr>
            <w:tcW w:w="3800" w:type="dxa"/>
            <w:tcBorders>
              <w:top w:val="nil"/>
              <w:left w:val="nil"/>
              <w:bottom w:val="single" w:sz="4" w:space="0" w:color="auto"/>
              <w:right w:val="single" w:sz="4" w:space="0" w:color="auto"/>
            </w:tcBorders>
            <w:shd w:val="clear" w:color="auto" w:fill="auto"/>
            <w:noWrap/>
            <w:vAlign w:val="bottom"/>
            <w:hideMark/>
          </w:tcPr>
          <w:p w14:paraId="390A85C3" w14:textId="77777777" w:rsidR="007968C5" w:rsidRPr="007968C5" w:rsidRDefault="007968C5" w:rsidP="007968C5">
            <w:pPr>
              <w:rPr>
                <w:sz w:val="16"/>
                <w:szCs w:val="16"/>
              </w:rPr>
            </w:pPr>
            <w:r w:rsidRPr="007968C5">
              <w:rPr>
                <w:sz w:val="16"/>
                <w:szCs w:val="16"/>
              </w:rPr>
              <w:t>Obveznice - Serija 36 D-26, 267E</w:t>
            </w:r>
          </w:p>
        </w:tc>
        <w:tc>
          <w:tcPr>
            <w:tcW w:w="1800" w:type="dxa"/>
            <w:tcBorders>
              <w:top w:val="single" w:sz="4" w:space="0" w:color="auto"/>
              <w:left w:val="nil"/>
              <w:bottom w:val="nil"/>
              <w:right w:val="single" w:sz="4" w:space="0" w:color="auto"/>
            </w:tcBorders>
            <w:shd w:val="clear" w:color="auto" w:fill="auto"/>
            <w:noWrap/>
            <w:vAlign w:val="bottom"/>
            <w:hideMark/>
          </w:tcPr>
          <w:p w14:paraId="63BA4F39" w14:textId="77777777" w:rsidR="007968C5" w:rsidRPr="007968C5" w:rsidRDefault="007968C5" w:rsidP="007968C5">
            <w:pPr>
              <w:jc w:val="center"/>
              <w:rPr>
                <w:sz w:val="16"/>
                <w:szCs w:val="16"/>
              </w:rPr>
            </w:pPr>
            <w:r w:rsidRPr="007968C5">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7D7E1F2F" w14:textId="77777777" w:rsidR="007968C5" w:rsidRPr="007968C5" w:rsidRDefault="007968C5" w:rsidP="007968C5">
            <w:pPr>
              <w:jc w:val="right"/>
              <w:rPr>
                <w:sz w:val="16"/>
                <w:szCs w:val="16"/>
              </w:rPr>
            </w:pPr>
            <w:r w:rsidRPr="007968C5">
              <w:rPr>
                <w:sz w:val="16"/>
                <w:szCs w:val="16"/>
              </w:rPr>
              <w:t>400.000.000,00</w:t>
            </w:r>
          </w:p>
        </w:tc>
      </w:tr>
      <w:tr w:rsidR="007968C5" w:rsidRPr="007968C5" w14:paraId="3645A4AC"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B996A5" w14:textId="77777777" w:rsidR="007968C5" w:rsidRPr="007968C5" w:rsidRDefault="007968C5" w:rsidP="007968C5">
            <w:pPr>
              <w:jc w:val="center"/>
              <w:rPr>
                <w:sz w:val="16"/>
                <w:szCs w:val="16"/>
              </w:rPr>
            </w:pPr>
            <w:r w:rsidRPr="007968C5">
              <w:rPr>
                <w:sz w:val="16"/>
                <w:szCs w:val="16"/>
              </w:rPr>
              <w:t>13.</w:t>
            </w:r>
          </w:p>
        </w:tc>
        <w:tc>
          <w:tcPr>
            <w:tcW w:w="3800" w:type="dxa"/>
            <w:tcBorders>
              <w:top w:val="nil"/>
              <w:left w:val="nil"/>
              <w:bottom w:val="single" w:sz="4" w:space="0" w:color="auto"/>
              <w:right w:val="single" w:sz="4" w:space="0" w:color="auto"/>
            </w:tcBorders>
            <w:shd w:val="clear" w:color="auto" w:fill="auto"/>
            <w:noWrap/>
            <w:vAlign w:val="bottom"/>
            <w:hideMark/>
          </w:tcPr>
          <w:p w14:paraId="14D50605" w14:textId="77777777" w:rsidR="007968C5" w:rsidRPr="007968C5" w:rsidRDefault="007968C5" w:rsidP="007968C5">
            <w:pPr>
              <w:rPr>
                <w:sz w:val="16"/>
                <w:szCs w:val="16"/>
              </w:rPr>
            </w:pPr>
            <w:r w:rsidRPr="007968C5">
              <w:rPr>
                <w:sz w:val="16"/>
                <w:szCs w:val="16"/>
              </w:rPr>
              <w:t>Obveznice - Serija 37 D-32, 327E</w:t>
            </w:r>
          </w:p>
        </w:tc>
        <w:tc>
          <w:tcPr>
            <w:tcW w:w="1800" w:type="dxa"/>
            <w:tcBorders>
              <w:top w:val="single" w:sz="4" w:space="0" w:color="auto"/>
              <w:left w:val="nil"/>
              <w:bottom w:val="nil"/>
              <w:right w:val="single" w:sz="4" w:space="0" w:color="auto"/>
            </w:tcBorders>
            <w:shd w:val="clear" w:color="auto" w:fill="auto"/>
            <w:noWrap/>
            <w:vAlign w:val="bottom"/>
            <w:hideMark/>
          </w:tcPr>
          <w:p w14:paraId="4B54ABA2" w14:textId="77777777" w:rsidR="007968C5" w:rsidRPr="007968C5" w:rsidRDefault="007968C5" w:rsidP="007968C5">
            <w:pPr>
              <w:jc w:val="center"/>
              <w:rPr>
                <w:sz w:val="16"/>
                <w:szCs w:val="16"/>
              </w:rPr>
            </w:pPr>
            <w:r w:rsidRPr="007968C5">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0A493A13" w14:textId="77777777" w:rsidR="007968C5" w:rsidRPr="007968C5" w:rsidRDefault="007968C5" w:rsidP="007968C5">
            <w:pPr>
              <w:jc w:val="right"/>
              <w:rPr>
                <w:sz w:val="16"/>
                <w:szCs w:val="16"/>
              </w:rPr>
            </w:pPr>
            <w:r w:rsidRPr="007968C5">
              <w:rPr>
                <w:sz w:val="16"/>
                <w:szCs w:val="16"/>
              </w:rPr>
              <w:t>800.000.000,00</w:t>
            </w:r>
          </w:p>
        </w:tc>
      </w:tr>
      <w:tr w:rsidR="007968C5" w:rsidRPr="007968C5" w14:paraId="449AC505"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CB360C" w14:textId="77777777" w:rsidR="007968C5" w:rsidRPr="007968C5" w:rsidRDefault="007968C5" w:rsidP="007968C5">
            <w:pPr>
              <w:jc w:val="center"/>
              <w:rPr>
                <w:sz w:val="16"/>
                <w:szCs w:val="16"/>
              </w:rPr>
            </w:pPr>
            <w:r w:rsidRPr="007968C5">
              <w:rPr>
                <w:sz w:val="16"/>
                <w:szCs w:val="16"/>
              </w:rPr>
              <w:t>14.</w:t>
            </w:r>
          </w:p>
        </w:tc>
        <w:tc>
          <w:tcPr>
            <w:tcW w:w="3800" w:type="dxa"/>
            <w:tcBorders>
              <w:top w:val="nil"/>
              <w:left w:val="nil"/>
              <w:bottom w:val="single" w:sz="4" w:space="0" w:color="auto"/>
              <w:right w:val="single" w:sz="4" w:space="0" w:color="auto"/>
            </w:tcBorders>
            <w:shd w:val="clear" w:color="auto" w:fill="auto"/>
            <w:noWrap/>
            <w:vAlign w:val="bottom"/>
            <w:hideMark/>
          </w:tcPr>
          <w:p w14:paraId="16E542DA" w14:textId="77777777" w:rsidR="007968C5" w:rsidRPr="007968C5" w:rsidRDefault="007968C5" w:rsidP="007968C5">
            <w:pPr>
              <w:rPr>
                <w:sz w:val="16"/>
                <w:szCs w:val="16"/>
              </w:rPr>
            </w:pPr>
            <w:r w:rsidRPr="007968C5">
              <w:rPr>
                <w:sz w:val="16"/>
                <w:szCs w:val="16"/>
              </w:rPr>
              <w:t>Obveznice - Serija 38 D-25, 253B</w:t>
            </w:r>
          </w:p>
        </w:tc>
        <w:tc>
          <w:tcPr>
            <w:tcW w:w="1800" w:type="dxa"/>
            <w:tcBorders>
              <w:top w:val="single" w:sz="4" w:space="0" w:color="auto"/>
              <w:left w:val="nil"/>
              <w:bottom w:val="nil"/>
              <w:right w:val="single" w:sz="4" w:space="0" w:color="auto"/>
            </w:tcBorders>
            <w:shd w:val="clear" w:color="auto" w:fill="auto"/>
            <w:noWrap/>
            <w:vAlign w:val="bottom"/>
            <w:hideMark/>
          </w:tcPr>
          <w:p w14:paraId="74426C86" w14:textId="77777777" w:rsidR="007968C5" w:rsidRPr="007968C5" w:rsidRDefault="007968C5" w:rsidP="007968C5">
            <w:pPr>
              <w:jc w:val="center"/>
              <w:rPr>
                <w:sz w:val="16"/>
                <w:szCs w:val="16"/>
              </w:rPr>
            </w:pPr>
            <w:r w:rsidRPr="007968C5">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334A4DE3" w14:textId="77777777" w:rsidR="007968C5" w:rsidRPr="007968C5" w:rsidRDefault="007968C5" w:rsidP="007968C5">
            <w:pPr>
              <w:jc w:val="right"/>
              <w:rPr>
                <w:sz w:val="16"/>
                <w:szCs w:val="16"/>
              </w:rPr>
            </w:pPr>
            <w:r w:rsidRPr="007968C5">
              <w:rPr>
                <w:sz w:val="16"/>
                <w:szCs w:val="16"/>
              </w:rPr>
              <w:t>1.850.000.000,00</w:t>
            </w:r>
          </w:p>
        </w:tc>
      </w:tr>
      <w:tr w:rsidR="007968C5" w:rsidRPr="007968C5" w14:paraId="3C180731"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853C91" w14:textId="77777777" w:rsidR="007968C5" w:rsidRPr="007968C5" w:rsidRDefault="007968C5" w:rsidP="007968C5">
            <w:pPr>
              <w:jc w:val="center"/>
              <w:rPr>
                <w:sz w:val="16"/>
                <w:szCs w:val="16"/>
              </w:rPr>
            </w:pPr>
            <w:r w:rsidRPr="007968C5">
              <w:rPr>
                <w:sz w:val="16"/>
                <w:szCs w:val="16"/>
              </w:rPr>
              <w:t>15.</w:t>
            </w:r>
          </w:p>
        </w:tc>
        <w:tc>
          <w:tcPr>
            <w:tcW w:w="3800" w:type="dxa"/>
            <w:tcBorders>
              <w:top w:val="nil"/>
              <w:left w:val="nil"/>
              <w:bottom w:val="single" w:sz="4" w:space="0" w:color="auto"/>
              <w:right w:val="single" w:sz="4" w:space="0" w:color="auto"/>
            </w:tcBorders>
            <w:shd w:val="clear" w:color="auto" w:fill="auto"/>
            <w:noWrap/>
            <w:vAlign w:val="bottom"/>
            <w:hideMark/>
          </w:tcPr>
          <w:p w14:paraId="127141CC" w14:textId="77777777" w:rsidR="007968C5" w:rsidRPr="007968C5" w:rsidRDefault="007968C5" w:rsidP="007968C5">
            <w:pPr>
              <w:rPr>
                <w:sz w:val="16"/>
                <w:szCs w:val="16"/>
              </w:rPr>
            </w:pPr>
            <w:r w:rsidRPr="007968C5">
              <w:rPr>
                <w:sz w:val="16"/>
                <w:szCs w:val="16"/>
              </w:rPr>
              <w:t>Obveznice - Serija 39 D-33, 33BA</w:t>
            </w:r>
          </w:p>
        </w:tc>
        <w:tc>
          <w:tcPr>
            <w:tcW w:w="1800" w:type="dxa"/>
            <w:tcBorders>
              <w:top w:val="single" w:sz="4" w:space="0" w:color="auto"/>
              <w:left w:val="nil"/>
              <w:bottom w:val="nil"/>
              <w:right w:val="single" w:sz="4" w:space="0" w:color="auto"/>
            </w:tcBorders>
            <w:shd w:val="clear" w:color="auto" w:fill="auto"/>
            <w:noWrap/>
            <w:vAlign w:val="bottom"/>
            <w:hideMark/>
          </w:tcPr>
          <w:p w14:paraId="1DF5EEA7" w14:textId="77777777" w:rsidR="007968C5" w:rsidRPr="007968C5" w:rsidRDefault="007968C5" w:rsidP="007968C5">
            <w:pPr>
              <w:jc w:val="center"/>
              <w:rPr>
                <w:sz w:val="16"/>
                <w:szCs w:val="16"/>
              </w:rPr>
            </w:pPr>
            <w:r w:rsidRPr="007968C5">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7ED13CD7" w14:textId="77777777" w:rsidR="007968C5" w:rsidRPr="007968C5" w:rsidRDefault="007968C5" w:rsidP="007968C5">
            <w:pPr>
              <w:jc w:val="right"/>
              <w:rPr>
                <w:sz w:val="16"/>
                <w:szCs w:val="16"/>
              </w:rPr>
            </w:pPr>
            <w:r w:rsidRPr="007968C5">
              <w:rPr>
                <w:sz w:val="16"/>
                <w:szCs w:val="16"/>
              </w:rPr>
              <w:t>1.250.000.000,00</w:t>
            </w:r>
          </w:p>
        </w:tc>
      </w:tr>
      <w:tr w:rsidR="007968C5" w:rsidRPr="007968C5" w14:paraId="07DEADEA"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D8C76F" w14:textId="77777777" w:rsidR="007968C5" w:rsidRPr="007968C5" w:rsidRDefault="007968C5" w:rsidP="007968C5">
            <w:pPr>
              <w:jc w:val="center"/>
              <w:rPr>
                <w:sz w:val="16"/>
                <w:szCs w:val="16"/>
              </w:rPr>
            </w:pPr>
            <w:r w:rsidRPr="007968C5">
              <w:rPr>
                <w:sz w:val="16"/>
                <w:szCs w:val="16"/>
              </w:rPr>
              <w:lastRenderedPageBreak/>
              <w:t>16.</w:t>
            </w:r>
          </w:p>
        </w:tc>
        <w:tc>
          <w:tcPr>
            <w:tcW w:w="3800" w:type="dxa"/>
            <w:tcBorders>
              <w:top w:val="nil"/>
              <w:left w:val="nil"/>
              <w:bottom w:val="single" w:sz="4" w:space="0" w:color="auto"/>
              <w:right w:val="single" w:sz="4" w:space="0" w:color="auto"/>
            </w:tcBorders>
            <w:shd w:val="clear" w:color="auto" w:fill="auto"/>
            <w:noWrap/>
            <w:vAlign w:val="bottom"/>
            <w:hideMark/>
          </w:tcPr>
          <w:p w14:paraId="17679EA1" w14:textId="77777777" w:rsidR="007968C5" w:rsidRPr="007968C5" w:rsidRDefault="007968C5" w:rsidP="007968C5">
            <w:pPr>
              <w:rPr>
                <w:sz w:val="16"/>
                <w:szCs w:val="16"/>
              </w:rPr>
            </w:pPr>
            <w:r w:rsidRPr="007968C5">
              <w:rPr>
                <w:sz w:val="16"/>
                <w:szCs w:val="16"/>
              </w:rPr>
              <w:t>Obveznice - Serija 40 D-27, 277N</w:t>
            </w:r>
          </w:p>
        </w:tc>
        <w:tc>
          <w:tcPr>
            <w:tcW w:w="1800" w:type="dxa"/>
            <w:tcBorders>
              <w:top w:val="single" w:sz="4" w:space="0" w:color="auto"/>
              <w:left w:val="nil"/>
              <w:bottom w:val="nil"/>
              <w:right w:val="single" w:sz="4" w:space="0" w:color="auto"/>
            </w:tcBorders>
            <w:shd w:val="clear" w:color="auto" w:fill="auto"/>
            <w:noWrap/>
            <w:vAlign w:val="bottom"/>
            <w:hideMark/>
          </w:tcPr>
          <w:p w14:paraId="7D3D4DE5" w14:textId="77777777" w:rsidR="007968C5" w:rsidRPr="007968C5" w:rsidRDefault="007968C5" w:rsidP="007968C5">
            <w:pPr>
              <w:jc w:val="center"/>
              <w:rPr>
                <w:sz w:val="16"/>
                <w:szCs w:val="16"/>
              </w:rPr>
            </w:pPr>
            <w:r w:rsidRPr="007968C5">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33E23381" w14:textId="77777777" w:rsidR="007968C5" w:rsidRPr="007968C5" w:rsidRDefault="007968C5" w:rsidP="007968C5">
            <w:pPr>
              <w:jc w:val="right"/>
              <w:rPr>
                <w:sz w:val="16"/>
                <w:szCs w:val="16"/>
              </w:rPr>
            </w:pPr>
            <w:r w:rsidRPr="007968C5">
              <w:rPr>
                <w:sz w:val="16"/>
                <w:szCs w:val="16"/>
              </w:rPr>
              <w:t>750.000.000,00</w:t>
            </w:r>
          </w:p>
        </w:tc>
      </w:tr>
      <w:tr w:rsidR="007968C5" w:rsidRPr="007968C5" w14:paraId="7EC72E5F"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C29984" w14:textId="77777777" w:rsidR="007968C5" w:rsidRPr="007968C5" w:rsidRDefault="007968C5" w:rsidP="007968C5">
            <w:pPr>
              <w:jc w:val="center"/>
              <w:rPr>
                <w:sz w:val="16"/>
                <w:szCs w:val="16"/>
              </w:rPr>
            </w:pPr>
            <w:r w:rsidRPr="007968C5">
              <w:rPr>
                <w:sz w:val="16"/>
                <w:szCs w:val="16"/>
              </w:rPr>
              <w:t>17.</w:t>
            </w:r>
          </w:p>
        </w:tc>
        <w:tc>
          <w:tcPr>
            <w:tcW w:w="3800" w:type="dxa"/>
            <w:tcBorders>
              <w:top w:val="nil"/>
              <w:left w:val="nil"/>
              <w:bottom w:val="single" w:sz="4" w:space="0" w:color="auto"/>
              <w:right w:val="single" w:sz="4" w:space="0" w:color="auto"/>
            </w:tcBorders>
            <w:shd w:val="clear" w:color="auto" w:fill="auto"/>
            <w:noWrap/>
            <w:vAlign w:val="bottom"/>
            <w:hideMark/>
          </w:tcPr>
          <w:p w14:paraId="38881693" w14:textId="77777777" w:rsidR="007968C5" w:rsidRPr="007968C5" w:rsidRDefault="007968C5" w:rsidP="007968C5">
            <w:pPr>
              <w:rPr>
                <w:sz w:val="16"/>
                <w:szCs w:val="16"/>
              </w:rPr>
            </w:pPr>
            <w:r w:rsidRPr="007968C5">
              <w:rPr>
                <w:sz w:val="16"/>
                <w:szCs w:val="16"/>
              </w:rPr>
              <w:t>Obveznice - Serija 41 D-34, 347A</w:t>
            </w:r>
          </w:p>
        </w:tc>
        <w:tc>
          <w:tcPr>
            <w:tcW w:w="1800" w:type="dxa"/>
            <w:tcBorders>
              <w:top w:val="single" w:sz="4" w:space="0" w:color="auto"/>
              <w:left w:val="nil"/>
              <w:bottom w:val="nil"/>
              <w:right w:val="single" w:sz="4" w:space="0" w:color="auto"/>
            </w:tcBorders>
            <w:shd w:val="clear" w:color="auto" w:fill="auto"/>
            <w:noWrap/>
            <w:vAlign w:val="bottom"/>
            <w:hideMark/>
          </w:tcPr>
          <w:p w14:paraId="57D6D307" w14:textId="77777777" w:rsidR="007968C5" w:rsidRPr="007968C5" w:rsidRDefault="007968C5" w:rsidP="007968C5">
            <w:pPr>
              <w:jc w:val="center"/>
              <w:rPr>
                <w:sz w:val="16"/>
                <w:szCs w:val="16"/>
              </w:rPr>
            </w:pPr>
            <w:r w:rsidRPr="007968C5">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676A9446" w14:textId="77777777" w:rsidR="007968C5" w:rsidRPr="007968C5" w:rsidRDefault="007968C5" w:rsidP="007968C5">
            <w:pPr>
              <w:jc w:val="right"/>
              <w:rPr>
                <w:sz w:val="16"/>
                <w:szCs w:val="16"/>
              </w:rPr>
            </w:pPr>
            <w:r w:rsidRPr="007968C5">
              <w:rPr>
                <w:sz w:val="16"/>
                <w:szCs w:val="16"/>
              </w:rPr>
              <w:t>1.250.000.000,00</w:t>
            </w:r>
          </w:p>
        </w:tc>
      </w:tr>
      <w:tr w:rsidR="007968C5" w:rsidRPr="007968C5" w14:paraId="22C5D53B" w14:textId="77777777" w:rsidTr="007968C5">
        <w:trPr>
          <w:trHeight w:val="270"/>
        </w:trPr>
        <w:tc>
          <w:tcPr>
            <w:tcW w:w="960"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3A4AF6C3" w14:textId="77777777" w:rsidR="007968C5" w:rsidRPr="007968C5" w:rsidRDefault="007968C5" w:rsidP="007968C5">
            <w:pPr>
              <w:jc w:val="center"/>
              <w:rPr>
                <w:sz w:val="16"/>
                <w:szCs w:val="16"/>
              </w:rPr>
            </w:pPr>
            <w:r w:rsidRPr="007968C5">
              <w:rPr>
                <w:sz w:val="16"/>
                <w:szCs w:val="16"/>
              </w:rPr>
              <w:t> </w:t>
            </w:r>
          </w:p>
        </w:tc>
        <w:tc>
          <w:tcPr>
            <w:tcW w:w="3800" w:type="dxa"/>
            <w:tcBorders>
              <w:top w:val="double" w:sz="6" w:space="0" w:color="auto"/>
              <w:left w:val="nil"/>
              <w:bottom w:val="double" w:sz="6" w:space="0" w:color="auto"/>
              <w:right w:val="double" w:sz="6" w:space="0" w:color="auto"/>
            </w:tcBorders>
            <w:shd w:val="clear" w:color="auto" w:fill="auto"/>
            <w:noWrap/>
            <w:vAlign w:val="bottom"/>
            <w:hideMark/>
          </w:tcPr>
          <w:p w14:paraId="68E9613E" w14:textId="77777777" w:rsidR="007968C5" w:rsidRPr="007968C5" w:rsidRDefault="007968C5" w:rsidP="007968C5">
            <w:pPr>
              <w:rPr>
                <w:b/>
                <w:bCs/>
                <w:sz w:val="16"/>
                <w:szCs w:val="16"/>
              </w:rPr>
            </w:pPr>
            <w:r w:rsidRPr="007968C5">
              <w:rPr>
                <w:b/>
                <w:bCs/>
                <w:sz w:val="16"/>
                <w:szCs w:val="16"/>
              </w:rPr>
              <w:t>Ukupno:</w:t>
            </w:r>
          </w:p>
        </w:tc>
        <w:tc>
          <w:tcPr>
            <w:tcW w:w="1800" w:type="dxa"/>
            <w:tcBorders>
              <w:top w:val="double" w:sz="6" w:space="0" w:color="auto"/>
              <w:left w:val="nil"/>
              <w:bottom w:val="double" w:sz="6" w:space="0" w:color="auto"/>
              <w:right w:val="double" w:sz="6" w:space="0" w:color="auto"/>
            </w:tcBorders>
            <w:shd w:val="clear" w:color="auto" w:fill="auto"/>
            <w:noWrap/>
            <w:vAlign w:val="bottom"/>
            <w:hideMark/>
          </w:tcPr>
          <w:p w14:paraId="5C446F86" w14:textId="77777777" w:rsidR="007968C5" w:rsidRPr="007968C5" w:rsidRDefault="007968C5" w:rsidP="007968C5">
            <w:pPr>
              <w:jc w:val="center"/>
              <w:rPr>
                <w:b/>
                <w:bCs/>
                <w:sz w:val="16"/>
                <w:szCs w:val="16"/>
              </w:rPr>
            </w:pPr>
            <w:r w:rsidRPr="007968C5">
              <w:rPr>
                <w:b/>
                <w:bCs/>
                <w:sz w:val="16"/>
                <w:szCs w:val="16"/>
              </w:rPr>
              <w:t>EUR</w:t>
            </w:r>
          </w:p>
        </w:tc>
        <w:tc>
          <w:tcPr>
            <w:tcW w:w="1780" w:type="dxa"/>
            <w:tcBorders>
              <w:top w:val="double" w:sz="6" w:space="0" w:color="auto"/>
              <w:left w:val="nil"/>
              <w:bottom w:val="double" w:sz="6" w:space="0" w:color="auto"/>
              <w:right w:val="double" w:sz="6" w:space="0" w:color="auto"/>
            </w:tcBorders>
            <w:shd w:val="clear" w:color="auto" w:fill="auto"/>
            <w:noWrap/>
            <w:vAlign w:val="bottom"/>
            <w:hideMark/>
          </w:tcPr>
          <w:p w14:paraId="48774604" w14:textId="77777777" w:rsidR="007968C5" w:rsidRPr="007968C5" w:rsidRDefault="007968C5" w:rsidP="007968C5">
            <w:pPr>
              <w:jc w:val="right"/>
              <w:rPr>
                <w:b/>
                <w:bCs/>
                <w:sz w:val="16"/>
                <w:szCs w:val="16"/>
              </w:rPr>
            </w:pPr>
            <w:r w:rsidRPr="007968C5">
              <w:rPr>
                <w:b/>
                <w:bCs/>
                <w:sz w:val="16"/>
                <w:szCs w:val="16"/>
              </w:rPr>
              <w:t>18.206.508.573,75</w:t>
            </w:r>
          </w:p>
        </w:tc>
      </w:tr>
    </w:tbl>
    <w:p w14:paraId="5A240EF3" w14:textId="50EFB65B" w:rsidR="001B4284" w:rsidRPr="007466EF" w:rsidRDefault="001B4284" w:rsidP="001B4284">
      <w:pPr>
        <w:jc w:val="both"/>
      </w:pPr>
    </w:p>
    <w:p w14:paraId="345E7983" w14:textId="77777777" w:rsidR="001B4284" w:rsidRPr="007466EF" w:rsidRDefault="001B4284" w:rsidP="001B4284">
      <w:pPr>
        <w:spacing w:after="120"/>
        <w:jc w:val="both"/>
        <w:rPr>
          <w:rFonts w:eastAsia="Calibri"/>
        </w:rPr>
      </w:pPr>
      <w:r w:rsidRPr="007466EF">
        <w:rPr>
          <w:rFonts w:eastAsia="Calibri"/>
        </w:rPr>
        <w:t xml:space="preserve">Republika Hrvatska, zastupana po Ministarstvu financija, realizirala je na domaćem tržištu kapitala inauguralno izdanje obveznica dospijeća 2025. u nominalnom iznosu od 1,85 milijardi eura namijenjenih, osim institucionalnim </w:t>
      </w:r>
      <w:proofErr w:type="spellStart"/>
      <w:r w:rsidRPr="007466EF">
        <w:rPr>
          <w:rFonts w:eastAsia="Calibri"/>
        </w:rPr>
        <w:t>ulagateljima</w:t>
      </w:r>
      <w:proofErr w:type="spellEnd"/>
      <w:r w:rsidRPr="007466EF">
        <w:rPr>
          <w:rFonts w:eastAsia="Calibri"/>
        </w:rPr>
        <w:t>, i fizičkim osobama.</w:t>
      </w:r>
    </w:p>
    <w:p w14:paraId="27686C62" w14:textId="77777777" w:rsidR="001B4284" w:rsidRPr="007466EF" w:rsidRDefault="001B4284" w:rsidP="001B4284">
      <w:pPr>
        <w:spacing w:after="120"/>
        <w:jc w:val="both"/>
        <w:rPr>
          <w:rFonts w:eastAsia="Calibri"/>
        </w:rPr>
      </w:pPr>
      <w:r w:rsidRPr="007466EF">
        <w:rPr>
          <w:rFonts w:eastAsia="Calibri"/>
        </w:rPr>
        <w:t xml:space="preserve">Upis obveznica provodio se u dva kruga pri čemu je prvi krug bio namijenjen za fizičke osobe (hrvatski državljani te strani državljani rezidenti u Republici Hrvatskoj), dok je drugi krug bio predviđen za institucionalne investitore. Novo izdanje Obveznica realizirano je uz cijenu od 100,000% i godišnju kamatnu stopu od 3,65%. </w:t>
      </w:r>
    </w:p>
    <w:p w14:paraId="6C12C49D" w14:textId="77777777" w:rsidR="001B4284" w:rsidRPr="007466EF" w:rsidRDefault="001B4284" w:rsidP="001B4284">
      <w:pPr>
        <w:spacing w:after="120"/>
        <w:jc w:val="both"/>
        <w:rPr>
          <w:rFonts w:eastAsia="Calibri"/>
        </w:rPr>
      </w:pPr>
      <w:r w:rsidRPr="007466EF">
        <w:rPr>
          <w:rFonts w:eastAsia="Calibri"/>
        </w:rPr>
        <w:t xml:space="preserve">Obveznice su uvrštene u usluge </w:t>
      </w:r>
      <w:proofErr w:type="spellStart"/>
      <w:r w:rsidRPr="007466EF">
        <w:rPr>
          <w:rFonts w:eastAsia="Calibri"/>
        </w:rPr>
        <w:t>depozitorija</w:t>
      </w:r>
      <w:proofErr w:type="spellEnd"/>
      <w:r w:rsidRPr="007466EF">
        <w:rPr>
          <w:rFonts w:eastAsia="Calibri"/>
        </w:rPr>
        <w:t>, poravnanja i namire Središnjeg klirinškog depozitarnog društva d.d. te na Službeno tržište Zagrebačke burze.</w:t>
      </w:r>
    </w:p>
    <w:p w14:paraId="270DB326" w14:textId="77777777" w:rsidR="001B4284" w:rsidRPr="007466EF" w:rsidRDefault="001B4284" w:rsidP="001B4284">
      <w:pPr>
        <w:spacing w:after="200"/>
        <w:jc w:val="both"/>
        <w:rPr>
          <w:rFonts w:eastAsia="Calibri"/>
        </w:rPr>
      </w:pPr>
      <w:r w:rsidRPr="007466EF">
        <w:rPr>
          <w:rFonts w:eastAsia="Calibri"/>
        </w:rPr>
        <w:t>U srpnju 2024. Republika Hrvatska realizirala je izdanje dviju obveznica na domaćem financijskom tržištu. Tzv. narodna obveznica izdana je u iznosu 750 milijuna eura te je uplaćena 12. srpnja 2024., a datum dospijeća joj je 12. srpnja 2027. Obveznice su izdane po cijeni od 100,00% nominalnog iznosa uz nepromjenjivi kamatni kupon od 3,30% godišnje. Kamatni kupon isplaćivat će se jednom godišnje.</w:t>
      </w:r>
    </w:p>
    <w:p w14:paraId="539E72E0" w14:textId="77777777" w:rsidR="001B4284" w:rsidRPr="007466EF" w:rsidRDefault="001B4284" w:rsidP="001B4284">
      <w:pPr>
        <w:spacing w:after="200"/>
        <w:jc w:val="both"/>
        <w:rPr>
          <w:rFonts w:eastAsia="Calibri"/>
        </w:rPr>
      </w:pPr>
      <w:r w:rsidRPr="007466EF">
        <w:rPr>
          <w:rFonts w:eastAsia="Calibri"/>
        </w:rPr>
        <w:t xml:space="preserve">Druga obveznica u iznosu od 1,250 milijuna eura izdana je po cijeni od 99,166% nominalnog iznosa uz nepromjenjivi kamatni kupon od 3,50% godišnje. Kamatni kupon isplaćivat će se polugodišnje. Obveznice su uplaćene 12. srpnja 2024., a datum dospijeća obveznica je 12. srpnja 2034. </w:t>
      </w:r>
    </w:p>
    <w:p w14:paraId="00A9CC74" w14:textId="77777777" w:rsidR="001B4284" w:rsidRPr="007466EF" w:rsidRDefault="001B4284" w:rsidP="001B4284">
      <w:pPr>
        <w:jc w:val="both"/>
      </w:pPr>
      <w:r w:rsidRPr="007466EF">
        <w:rPr>
          <w:rFonts w:eastAsia="Calibri"/>
        </w:rPr>
        <w:t>Sredstva prikupljena ovim izdanjima iskorištena su, između ostalog, za otplatu obveznica Republike Hrvatske izdanih 2013. u nominalnom iznosu od 1,4 milijarde eura, koje su dospjele i isplaćene u srpnju 2024.</w:t>
      </w:r>
    </w:p>
    <w:p w14:paraId="0D151FC9" w14:textId="77777777" w:rsidR="001B4284" w:rsidRPr="007466EF" w:rsidRDefault="001B4284" w:rsidP="001B4284">
      <w:pPr>
        <w:jc w:val="both"/>
      </w:pPr>
    </w:p>
    <w:p w14:paraId="7E712AD9" w14:textId="77777777" w:rsidR="001B4284" w:rsidRPr="007466EF" w:rsidRDefault="001B4284" w:rsidP="001B4284">
      <w:pPr>
        <w:keepNext/>
        <w:jc w:val="center"/>
      </w:pPr>
      <w:r w:rsidRPr="007466EF">
        <w:rPr>
          <w:sz w:val="28"/>
        </w:rPr>
        <w:t>Bilješka 21.</w:t>
      </w:r>
    </w:p>
    <w:p w14:paraId="5685C173" w14:textId="77777777" w:rsidR="001B4284" w:rsidRPr="007466EF" w:rsidRDefault="001B4284" w:rsidP="001B4284">
      <w:pPr>
        <w:keepNext/>
        <w:jc w:val="center"/>
      </w:pPr>
      <w:r w:rsidRPr="007466EF">
        <w:rPr>
          <w:sz w:val="28"/>
        </w:rPr>
        <w:t>Šifra 2532 Obveze za mjenice</w:t>
      </w:r>
    </w:p>
    <w:p w14:paraId="645B4FB0" w14:textId="77777777" w:rsidR="001B4284" w:rsidRPr="007466EF" w:rsidRDefault="001B4284" w:rsidP="001B4284">
      <w:pPr>
        <w:keepNext/>
        <w:jc w:val="both"/>
      </w:pPr>
      <w:r w:rsidRPr="007466EF">
        <w:t xml:space="preserve">Obveze za mjenice na dan 31. prosinca 2024. iskazane su u iznosu od 591.808,43 eura, a odnose se na obveze po izdanim mjenicama za članski kapital Republike Hrvatske u Međunarodnom udruženju za razvoj (International Development </w:t>
      </w:r>
      <w:proofErr w:type="spellStart"/>
      <w:r w:rsidRPr="007466EF">
        <w:t>Association</w:t>
      </w:r>
      <w:proofErr w:type="spellEnd"/>
      <w:r w:rsidRPr="007466EF">
        <w:t>, IDA) i Multilateralnoj agenciji za osiguranje investicija (</w:t>
      </w:r>
      <w:proofErr w:type="spellStart"/>
      <w:r w:rsidRPr="007466EF">
        <w:t>Multilateral</w:t>
      </w:r>
      <w:proofErr w:type="spellEnd"/>
      <w:r w:rsidRPr="007466EF">
        <w:t xml:space="preserve"> </w:t>
      </w:r>
      <w:proofErr w:type="spellStart"/>
      <w:r w:rsidRPr="007466EF">
        <w:t>Investment</w:t>
      </w:r>
      <w:proofErr w:type="spellEnd"/>
      <w:r w:rsidRPr="007466EF">
        <w:t xml:space="preserve"> </w:t>
      </w:r>
      <w:proofErr w:type="spellStart"/>
      <w:r w:rsidRPr="007466EF">
        <w:t>Guarantee</w:t>
      </w:r>
      <w:proofErr w:type="spellEnd"/>
      <w:r w:rsidRPr="007466EF">
        <w:t xml:space="preserve"> </w:t>
      </w:r>
      <w:proofErr w:type="spellStart"/>
      <w:r w:rsidRPr="007466EF">
        <w:t>Agency</w:t>
      </w:r>
      <w:proofErr w:type="spellEnd"/>
      <w:r w:rsidRPr="007466EF">
        <w:t>, MIGA). Analitički prikaz obveza za mjenice dan je u Tablici 7.</w:t>
      </w:r>
    </w:p>
    <w:p w14:paraId="1E0CF6E5" w14:textId="77777777" w:rsidR="001B4284" w:rsidRPr="007466EF" w:rsidRDefault="001B4284" w:rsidP="001B4284">
      <w:pPr>
        <w:jc w:val="both"/>
      </w:pPr>
    </w:p>
    <w:p w14:paraId="72686E81" w14:textId="77777777" w:rsidR="001B4284" w:rsidRPr="007466EF" w:rsidRDefault="001B4284" w:rsidP="001B4284">
      <w:pPr>
        <w:keepNext/>
        <w:jc w:val="both"/>
        <w:rPr>
          <w:b/>
          <w:sz w:val="20"/>
          <w:szCs w:val="20"/>
        </w:rPr>
      </w:pPr>
      <w:r w:rsidRPr="007466EF">
        <w:rPr>
          <w:b/>
          <w:sz w:val="20"/>
          <w:szCs w:val="20"/>
        </w:rPr>
        <w:t>Tablica 7. Pregled obveza po izdanim mjenicama</w:t>
      </w:r>
    </w:p>
    <w:tbl>
      <w:tblPr>
        <w:tblW w:w="7650" w:type="dxa"/>
        <w:jc w:val="center"/>
        <w:tblLook w:val="04A0" w:firstRow="1" w:lastRow="0" w:firstColumn="1" w:lastColumn="0" w:noHBand="0" w:noVBand="1"/>
      </w:tblPr>
      <w:tblGrid>
        <w:gridCol w:w="960"/>
        <w:gridCol w:w="1020"/>
        <w:gridCol w:w="1417"/>
        <w:gridCol w:w="1418"/>
        <w:gridCol w:w="2835"/>
      </w:tblGrid>
      <w:tr w:rsidR="001B4284" w:rsidRPr="007466EF" w14:paraId="25D81339" w14:textId="77777777" w:rsidTr="000F0D22">
        <w:trPr>
          <w:trHeight w:val="81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4375C" w14:textId="77777777" w:rsidR="001B4284" w:rsidRPr="007466EF" w:rsidRDefault="001B4284" w:rsidP="001B4284">
            <w:pPr>
              <w:jc w:val="center"/>
              <w:rPr>
                <w:b/>
                <w:bCs/>
                <w:sz w:val="20"/>
                <w:szCs w:val="20"/>
              </w:rPr>
            </w:pPr>
            <w:r w:rsidRPr="007466EF">
              <w:rPr>
                <w:b/>
                <w:bCs/>
                <w:sz w:val="20"/>
                <w:szCs w:val="20"/>
              </w:rPr>
              <w:t>Red. broj</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EAC9EDC" w14:textId="77777777" w:rsidR="001B4284" w:rsidRPr="007466EF" w:rsidRDefault="001B4284" w:rsidP="001B4284">
            <w:pPr>
              <w:jc w:val="center"/>
              <w:rPr>
                <w:b/>
                <w:bCs/>
                <w:sz w:val="20"/>
                <w:szCs w:val="20"/>
              </w:rPr>
            </w:pPr>
            <w:r w:rsidRPr="007466EF">
              <w:rPr>
                <w:b/>
                <w:bCs/>
                <w:sz w:val="20"/>
                <w:szCs w:val="20"/>
              </w:rPr>
              <w:t>Naziv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5740F9" w14:textId="77777777" w:rsidR="001B4284" w:rsidRPr="007466EF" w:rsidRDefault="001B4284" w:rsidP="001B4284">
            <w:pPr>
              <w:jc w:val="center"/>
              <w:rPr>
                <w:b/>
                <w:bCs/>
                <w:sz w:val="20"/>
                <w:szCs w:val="20"/>
              </w:rPr>
            </w:pPr>
            <w:r w:rsidRPr="007466EF">
              <w:rPr>
                <w:b/>
                <w:bCs/>
                <w:sz w:val="20"/>
                <w:szCs w:val="20"/>
              </w:rPr>
              <w:t>Valuta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164959B" w14:textId="77777777" w:rsidR="001B4284" w:rsidRPr="007466EF" w:rsidRDefault="001B4284" w:rsidP="001B4284">
            <w:pPr>
              <w:jc w:val="center"/>
              <w:rPr>
                <w:b/>
                <w:bCs/>
                <w:sz w:val="20"/>
                <w:szCs w:val="20"/>
              </w:rPr>
            </w:pPr>
            <w:r w:rsidRPr="007466EF">
              <w:rPr>
                <w:b/>
                <w:bCs/>
                <w:sz w:val="20"/>
                <w:szCs w:val="20"/>
              </w:rPr>
              <w:t>Stanje obveza na dan 31.12.2023.  (</w:t>
            </w:r>
            <w:proofErr w:type="spellStart"/>
            <w:r w:rsidRPr="007466EF">
              <w:rPr>
                <w:b/>
                <w:bCs/>
                <w:sz w:val="20"/>
                <w:szCs w:val="20"/>
              </w:rPr>
              <w:t>org.val</w:t>
            </w:r>
            <w:proofErr w:type="spellEnd"/>
            <w:r w:rsidRPr="007466EF">
              <w:rPr>
                <w:b/>
                <w:bCs/>
                <w:sz w:val="20"/>
                <w:szCs w:val="20"/>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ACC2C9C" w14:textId="77777777" w:rsidR="001B4284" w:rsidRPr="007466EF" w:rsidRDefault="001B4284" w:rsidP="001B4284">
            <w:pPr>
              <w:jc w:val="center"/>
              <w:rPr>
                <w:b/>
                <w:bCs/>
                <w:sz w:val="20"/>
                <w:szCs w:val="20"/>
              </w:rPr>
            </w:pPr>
            <w:r w:rsidRPr="007466EF">
              <w:rPr>
                <w:b/>
                <w:bCs/>
                <w:sz w:val="20"/>
                <w:szCs w:val="20"/>
              </w:rPr>
              <w:t>Stanje  obveza na 31.12.2024. u eurima</w:t>
            </w:r>
          </w:p>
        </w:tc>
      </w:tr>
      <w:tr w:rsidR="001B4284" w:rsidRPr="007466EF" w14:paraId="53BAA26F"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662E2C" w14:textId="77777777" w:rsidR="001B4284" w:rsidRPr="007466EF" w:rsidRDefault="001B4284" w:rsidP="001B4284">
            <w:pPr>
              <w:jc w:val="center"/>
              <w:rPr>
                <w:sz w:val="16"/>
                <w:szCs w:val="16"/>
              </w:rPr>
            </w:pPr>
            <w:r w:rsidRPr="007466EF">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14:paraId="04063E3B" w14:textId="77777777" w:rsidR="001B4284" w:rsidRPr="007466EF" w:rsidRDefault="001B4284" w:rsidP="001B4284">
            <w:pPr>
              <w:rPr>
                <w:sz w:val="16"/>
                <w:szCs w:val="16"/>
              </w:rPr>
            </w:pPr>
            <w:r w:rsidRPr="007466EF">
              <w:rPr>
                <w:sz w:val="16"/>
                <w:szCs w:val="16"/>
              </w:rPr>
              <w:t>IDA</w:t>
            </w:r>
          </w:p>
        </w:tc>
        <w:tc>
          <w:tcPr>
            <w:tcW w:w="1417" w:type="dxa"/>
            <w:tcBorders>
              <w:top w:val="nil"/>
              <w:left w:val="nil"/>
              <w:bottom w:val="single" w:sz="4" w:space="0" w:color="auto"/>
              <w:right w:val="single" w:sz="4" w:space="0" w:color="auto"/>
            </w:tcBorders>
            <w:shd w:val="clear" w:color="auto" w:fill="auto"/>
            <w:vAlign w:val="center"/>
            <w:hideMark/>
          </w:tcPr>
          <w:p w14:paraId="7E8E14CD" w14:textId="77777777" w:rsidR="001B4284" w:rsidRPr="007466EF" w:rsidRDefault="001B4284" w:rsidP="001B4284">
            <w:pPr>
              <w:jc w:val="center"/>
              <w:rPr>
                <w:sz w:val="16"/>
                <w:szCs w:val="16"/>
              </w:rPr>
            </w:pPr>
            <w:r w:rsidRPr="007466EF">
              <w:rPr>
                <w:sz w:val="16"/>
                <w:szCs w:val="16"/>
              </w:rPr>
              <w:t>HRK</w:t>
            </w:r>
          </w:p>
        </w:tc>
        <w:tc>
          <w:tcPr>
            <w:tcW w:w="1418" w:type="dxa"/>
            <w:tcBorders>
              <w:top w:val="nil"/>
              <w:left w:val="nil"/>
              <w:bottom w:val="single" w:sz="4" w:space="0" w:color="auto"/>
              <w:right w:val="single" w:sz="4" w:space="0" w:color="auto"/>
            </w:tcBorders>
            <w:shd w:val="clear" w:color="auto" w:fill="auto"/>
            <w:vAlign w:val="center"/>
            <w:hideMark/>
          </w:tcPr>
          <w:p w14:paraId="2BC10598" w14:textId="77777777" w:rsidR="001B4284" w:rsidRPr="007466EF" w:rsidRDefault="001B4284" w:rsidP="001B4284">
            <w:pPr>
              <w:jc w:val="right"/>
              <w:rPr>
                <w:sz w:val="16"/>
                <w:szCs w:val="16"/>
              </w:rPr>
            </w:pPr>
            <w:r w:rsidRPr="007466EF">
              <w:rPr>
                <w:sz w:val="16"/>
                <w:szCs w:val="16"/>
              </w:rPr>
              <w:t>2.999.304,65</w:t>
            </w:r>
          </w:p>
        </w:tc>
        <w:tc>
          <w:tcPr>
            <w:tcW w:w="2835" w:type="dxa"/>
            <w:tcBorders>
              <w:top w:val="nil"/>
              <w:left w:val="nil"/>
              <w:bottom w:val="single" w:sz="4" w:space="0" w:color="auto"/>
              <w:right w:val="single" w:sz="4" w:space="0" w:color="auto"/>
            </w:tcBorders>
            <w:shd w:val="clear" w:color="auto" w:fill="auto"/>
            <w:vAlign w:val="center"/>
            <w:hideMark/>
          </w:tcPr>
          <w:p w14:paraId="27005B48" w14:textId="77777777" w:rsidR="001B4284" w:rsidRPr="007466EF" w:rsidRDefault="001B4284" w:rsidP="001B4284">
            <w:pPr>
              <w:jc w:val="right"/>
              <w:rPr>
                <w:sz w:val="16"/>
                <w:szCs w:val="16"/>
              </w:rPr>
            </w:pPr>
            <w:r w:rsidRPr="007466EF">
              <w:rPr>
                <w:sz w:val="16"/>
                <w:szCs w:val="16"/>
              </w:rPr>
              <w:t>398.076,14</w:t>
            </w:r>
          </w:p>
        </w:tc>
      </w:tr>
      <w:tr w:rsidR="001B4284" w:rsidRPr="007466EF" w14:paraId="7C1490C0" w14:textId="77777777" w:rsidTr="000F0D22">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F66EE4" w14:textId="77777777" w:rsidR="001B4284" w:rsidRPr="007466EF" w:rsidRDefault="001B4284" w:rsidP="001B4284">
            <w:pPr>
              <w:jc w:val="center"/>
              <w:rPr>
                <w:sz w:val="16"/>
                <w:szCs w:val="16"/>
              </w:rPr>
            </w:pPr>
            <w:r w:rsidRPr="007466EF">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14:paraId="3E08F041" w14:textId="77777777" w:rsidR="001B4284" w:rsidRPr="007466EF" w:rsidRDefault="001B4284" w:rsidP="001B4284">
            <w:pPr>
              <w:rPr>
                <w:sz w:val="16"/>
                <w:szCs w:val="16"/>
              </w:rPr>
            </w:pPr>
            <w:r w:rsidRPr="007466EF">
              <w:rPr>
                <w:sz w:val="16"/>
                <w:szCs w:val="16"/>
              </w:rPr>
              <w:t>MIGA</w:t>
            </w:r>
          </w:p>
        </w:tc>
        <w:tc>
          <w:tcPr>
            <w:tcW w:w="1417" w:type="dxa"/>
            <w:tcBorders>
              <w:top w:val="nil"/>
              <w:left w:val="nil"/>
              <w:bottom w:val="single" w:sz="4" w:space="0" w:color="auto"/>
              <w:right w:val="single" w:sz="4" w:space="0" w:color="auto"/>
            </w:tcBorders>
            <w:shd w:val="clear" w:color="auto" w:fill="auto"/>
            <w:noWrap/>
            <w:vAlign w:val="center"/>
            <w:hideMark/>
          </w:tcPr>
          <w:p w14:paraId="77F5B5C4" w14:textId="77777777" w:rsidR="001B4284" w:rsidRPr="007466EF" w:rsidRDefault="001B4284" w:rsidP="001B4284">
            <w:pPr>
              <w:jc w:val="center"/>
              <w:rPr>
                <w:sz w:val="16"/>
                <w:szCs w:val="16"/>
              </w:rPr>
            </w:pPr>
            <w:r w:rsidRPr="007466EF">
              <w:rPr>
                <w:sz w:val="16"/>
                <w:szCs w:val="16"/>
              </w:rPr>
              <w:t>USD</w:t>
            </w:r>
          </w:p>
        </w:tc>
        <w:tc>
          <w:tcPr>
            <w:tcW w:w="1418" w:type="dxa"/>
            <w:tcBorders>
              <w:top w:val="nil"/>
              <w:left w:val="nil"/>
              <w:bottom w:val="single" w:sz="4" w:space="0" w:color="auto"/>
              <w:right w:val="single" w:sz="4" w:space="0" w:color="auto"/>
            </w:tcBorders>
            <w:shd w:val="clear" w:color="auto" w:fill="auto"/>
            <w:noWrap/>
            <w:vAlign w:val="center"/>
            <w:hideMark/>
          </w:tcPr>
          <w:p w14:paraId="284B1D56" w14:textId="77777777" w:rsidR="001B4284" w:rsidRPr="007466EF" w:rsidRDefault="001B4284" w:rsidP="001B4284">
            <w:pPr>
              <w:jc w:val="right"/>
              <w:rPr>
                <w:sz w:val="16"/>
                <w:szCs w:val="16"/>
              </w:rPr>
            </w:pPr>
            <w:r w:rsidRPr="007466EF">
              <w:rPr>
                <w:sz w:val="16"/>
                <w:szCs w:val="16"/>
              </w:rPr>
              <w:t>202.334,00</w:t>
            </w:r>
          </w:p>
        </w:tc>
        <w:tc>
          <w:tcPr>
            <w:tcW w:w="2835" w:type="dxa"/>
            <w:tcBorders>
              <w:top w:val="nil"/>
              <w:left w:val="nil"/>
              <w:bottom w:val="single" w:sz="4" w:space="0" w:color="auto"/>
              <w:right w:val="single" w:sz="4" w:space="0" w:color="auto"/>
            </w:tcBorders>
            <w:shd w:val="clear" w:color="auto" w:fill="auto"/>
            <w:vAlign w:val="center"/>
            <w:hideMark/>
          </w:tcPr>
          <w:p w14:paraId="64B12CE7" w14:textId="77777777" w:rsidR="001B4284" w:rsidRPr="007466EF" w:rsidRDefault="001B4284" w:rsidP="001B4284">
            <w:pPr>
              <w:jc w:val="right"/>
              <w:rPr>
                <w:sz w:val="16"/>
                <w:szCs w:val="16"/>
              </w:rPr>
            </w:pPr>
            <w:r w:rsidRPr="007466EF">
              <w:rPr>
                <w:sz w:val="16"/>
                <w:szCs w:val="16"/>
              </w:rPr>
              <w:t>193.732,29</w:t>
            </w:r>
          </w:p>
        </w:tc>
      </w:tr>
      <w:tr w:rsidR="001B4284" w:rsidRPr="007466EF" w14:paraId="270D0C9A" w14:textId="77777777" w:rsidTr="000F0D22">
        <w:trPr>
          <w:trHeight w:val="330"/>
          <w:jc w:val="center"/>
        </w:trPr>
        <w:tc>
          <w:tcPr>
            <w:tcW w:w="1980" w:type="dxa"/>
            <w:gridSpan w:val="2"/>
            <w:vMerge w:val="restart"/>
            <w:tcBorders>
              <w:top w:val="double" w:sz="6" w:space="0" w:color="auto"/>
              <w:left w:val="double" w:sz="6" w:space="0" w:color="auto"/>
              <w:bottom w:val="double" w:sz="6" w:space="0" w:color="000000"/>
              <w:right w:val="double" w:sz="6" w:space="0" w:color="000000"/>
            </w:tcBorders>
            <w:shd w:val="clear" w:color="auto" w:fill="auto"/>
            <w:noWrap/>
            <w:vAlign w:val="center"/>
            <w:hideMark/>
          </w:tcPr>
          <w:p w14:paraId="3C02191A" w14:textId="77777777" w:rsidR="001B4284" w:rsidRPr="007466EF" w:rsidRDefault="001B4284" w:rsidP="001B4284">
            <w:pPr>
              <w:jc w:val="center"/>
              <w:rPr>
                <w:b/>
                <w:bCs/>
                <w:sz w:val="20"/>
                <w:szCs w:val="20"/>
              </w:rPr>
            </w:pPr>
            <w:r w:rsidRPr="007466EF">
              <w:rPr>
                <w:b/>
                <w:bCs/>
                <w:sz w:val="20"/>
                <w:szCs w:val="20"/>
              </w:rPr>
              <w:t>UKUPNO</w:t>
            </w:r>
          </w:p>
        </w:tc>
        <w:tc>
          <w:tcPr>
            <w:tcW w:w="1417" w:type="dxa"/>
            <w:tcBorders>
              <w:top w:val="double" w:sz="6" w:space="0" w:color="auto"/>
              <w:left w:val="nil"/>
              <w:bottom w:val="double" w:sz="6" w:space="0" w:color="auto"/>
              <w:right w:val="double" w:sz="6" w:space="0" w:color="auto"/>
            </w:tcBorders>
            <w:shd w:val="clear" w:color="auto" w:fill="auto"/>
            <w:noWrap/>
            <w:vAlign w:val="center"/>
            <w:hideMark/>
          </w:tcPr>
          <w:p w14:paraId="3789BDF5" w14:textId="77777777" w:rsidR="001B4284" w:rsidRPr="007466EF" w:rsidRDefault="001B4284" w:rsidP="001B4284">
            <w:pPr>
              <w:jc w:val="center"/>
              <w:rPr>
                <w:b/>
                <w:bCs/>
                <w:sz w:val="20"/>
                <w:szCs w:val="20"/>
              </w:rPr>
            </w:pPr>
            <w:r w:rsidRPr="007466EF">
              <w:rPr>
                <w:b/>
                <w:bCs/>
                <w:sz w:val="20"/>
                <w:szCs w:val="20"/>
              </w:rPr>
              <w:t>HRK</w:t>
            </w:r>
          </w:p>
        </w:tc>
        <w:tc>
          <w:tcPr>
            <w:tcW w:w="1418" w:type="dxa"/>
            <w:tcBorders>
              <w:top w:val="double" w:sz="6" w:space="0" w:color="auto"/>
              <w:left w:val="nil"/>
              <w:bottom w:val="double" w:sz="6" w:space="0" w:color="auto"/>
              <w:right w:val="double" w:sz="6" w:space="0" w:color="auto"/>
            </w:tcBorders>
            <w:shd w:val="clear" w:color="auto" w:fill="auto"/>
            <w:noWrap/>
            <w:vAlign w:val="center"/>
            <w:hideMark/>
          </w:tcPr>
          <w:p w14:paraId="3A492CBB" w14:textId="77777777" w:rsidR="001B4284" w:rsidRPr="007466EF" w:rsidRDefault="001B4284" w:rsidP="001B4284">
            <w:pPr>
              <w:jc w:val="right"/>
              <w:rPr>
                <w:sz w:val="20"/>
                <w:szCs w:val="20"/>
              </w:rPr>
            </w:pPr>
            <w:r w:rsidRPr="007466EF">
              <w:rPr>
                <w:sz w:val="20"/>
                <w:szCs w:val="20"/>
              </w:rPr>
              <w:t>2.999.304,65</w:t>
            </w:r>
          </w:p>
        </w:tc>
        <w:tc>
          <w:tcPr>
            <w:tcW w:w="2835" w:type="dxa"/>
            <w:tcBorders>
              <w:top w:val="double" w:sz="6" w:space="0" w:color="auto"/>
              <w:left w:val="nil"/>
              <w:bottom w:val="double" w:sz="6" w:space="0" w:color="auto"/>
              <w:right w:val="double" w:sz="6" w:space="0" w:color="auto"/>
            </w:tcBorders>
            <w:shd w:val="clear" w:color="auto" w:fill="auto"/>
            <w:noWrap/>
            <w:vAlign w:val="center"/>
            <w:hideMark/>
          </w:tcPr>
          <w:p w14:paraId="2445DBC6" w14:textId="77777777" w:rsidR="001B4284" w:rsidRPr="007466EF" w:rsidRDefault="001B4284" w:rsidP="001B4284">
            <w:pPr>
              <w:jc w:val="right"/>
              <w:rPr>
                <w:sz w:val="20"/>
                <w:szCs w:val="20"/>
              </w:rPr>
            </w:pPr>
            <w:r w:rsidRPr="007466EF">
              <w:rPr>
                <w:sz w:val="20"/>
                <w:szCs w:val="20"/>
              </w:rPr>
              <w:t>398.076,14</w:t>
            </w:r>
          </w:p>
        </w:tc>
      </w:tr>
      <w:tr w:rsidR="001B4284" w:rsidRPr="007466EF" w14:paraId="6F145E94" w14:textId="77777777" w:rsidTr="000F0D22">
        <w:trPr>
          <w:trHeight w:val="330"/>
          <w:jc w:val="center"/>
        </w:trPr>
        <w:tc>
          <w:tcPr>
            <w:tcW w:w="1980" w:type="dxa"/>
            <w:gridSpan w:val="2"/>
            <w:vMerge/>
            <w:tcBorders>
              <w:top w:val="double" w:sz="6" w:space="0" w:color="auto"/>
              <w:left w:val="double" w:sz="6" w:space="0" w:color="auto"/>
              <w:bottom w:val="double" w:sz="6" w:space="0" w:color="000000"/>
              <w:right w:val="double" w:sz="6" w:space="0" w:color="000000"/>
            </w:tcBorders>
            <w:vAlign w:val="center"/>
            <w:hideMark/>
          </w:tcPr>
          <w:p w14:paraId="3AA94956" w14:textId="77777777" w:rsidR="001B4284" w:rsidRPr="007466EF" w:rsidRDefault="001B4284" w:rsidP="001B4284">
            <w:pPr>
              <w:rPr>
                <w:b/>
                <w:bCs/>
                <w:sz w:val="20"/>
                <w:szCs w:val="20"/>
              </w:rPr>
            </w:pPr>
          </w:p>
        </w:tc>
        <w:tc>
          <w:tcPr>
            <w:tcW w:w="1417" w:type="dxa"/>
            <w:tcBorders>
              <w:top w:val="nil"/>
              <w:left w:val="nil"/>
              <w:bottom w:val="double" w:sz="6" w:space="0" w:color="auto"/>
              <w:right w:val="double" w:sz="6" w:space="0" w:color="auto"/>
            </w:tcBorders>
            <w:shd w:val="clear" w:color="auto" w:fill="auto"/>
            <w:noWrap/>
            <w:vAlign w:val="center"/>
            <w:hideMark/>
          </w:tcPr>
          <w:p w14:paraId="0B6F3679" w14:textId="77777777" w:rsidR="001B4284" w:rsidRPr="007466EF" w:rsidRDefault="001B4284" w:rsidP="001B4284">
            <w:pPr>
              <w:jc w:val="center"/>
              <w:rPr>
                <w:b/>
                <w:bCs/>
                <w:sz w:val="20"/>
                <w:szCs w:val="20"/>
              </w:rPr>
            </w:pPr>
            <w:r w:rsidRPr="007466EF">
              <w:rPr>
                <w:b/>
                <w:bCs/>
                <w:sz w:val="20"/>
                <w:szCs w:val="20"/>
              </w:rPr>
              <w:t>USD</w:t>
            </w:r>
          </w:p>
        </w:tc>
        <w:tc>
          <w:tcPr>
            <w:tcW w:w="1418" w:type="dxa"/>
            <w:tcBorders>
              <w:top w:val="nil"/>
              <w:left w:val="nil"/>
              <w:bottom w:val="double" w:sz="6" w:space="0" w:color="auto"/>
              <w:right w:val="double" w:sz="6" w:space="0" w:color="auto"/>
            </w:tcBorders>
            <w:shd w:val="clear" w:color="auto" w:fill="auto"/>
            <w:noWrap/>
            <w:vAlign w:val="center"/>
            <w:hideMark/>
          </w:tcPr>
          <w:p w14:paraId="44896559" w14:textId="77777777" w:rsidR="001B4284" w:rsidRPr="007466EF" w:rsidRDefault="001B4284" w:rsidP="001B4284">
            <w:pPr>
              <w:jc w:val="right"/>
              <w:rPr>
                <w:sz w:val="20"/>
                <w:szCs w:val="20"/>
              </w:rPr>
            </w:pPr>
            <w:r w:rsidRPr="007466EF">
              <w:rPr>
                <w:sz w:val="20"/>
                <w:szCs w:val="20"/>
              </w:rPr>
              <w:t>202.334,00</w:t>
            </w:r>
          </w:p>
        </w:tc>
        <w:tc>
          <w:tcPr>
            <w:tcW w:w="2835" w:type="dxa"/>
            <w:tcBorders>
              <w:top w:val="nil"/>
              <w:left w:val="nil"/>
              <w:bottom w:val="double" w:sz="6" w:space="0" w:color="auto"/>
              <w:right w:val="double" w:sz="6" w:space="0" w:color="auto"/>
            </w:tcBorders>
            <w:shd w:val="clear" w:color="auto" w:fill="auto"/>
            <w:noWrap/>
            <w:vAlign w:val="center"/>
            <w:hideMark/>
          </w:tcPr>
          <w:p w14:paraId="6601D34F" w14:textId="77777777" w:rsidR="001B4284" w:rsidRPr="007466EF" w:rsidRDefault="001B4284" w:rsidP="001B4284">
            <w:pPr>
              <w:jc w:val="right"/>
              <w:rPr>
                <w:sz w:val="20"/>
                <w:szCs w:val="20"/>
              </w:rPr>
            </w:pPr>
            <w:r w:rsidRPr="007466EF">
              <w:rPr>
                <w:sz w:val="20"/>
                <w:szCs w:val="20"/>
              </w:rPr>
              <w:t>193.732,29</w:t>
            </w:r>
          </w:p>
        </w:tc>
      </w:tr>
      <w:tr w:rsidR="001B4284" w:rsidRPr="007466EF" w14:paraId="3ABA346E" w14:textId="77777777" w:rsidTr="000F0D22">
        <w:trPr>
          <w:trHeight w:val="330"/>
          <w:jc w:val="center"/>
        </w:trPr>
        <w:tc>
          <w:tcPr>
            <w:tcW w:w="4815" w:type="dxa"/>
            <w:gridSpan w:val="4"/>
            <w:tcBorders>
              <w:top w:val="double" w:sz="6" w:space="0" w:color="auto"/>
              <w:left w:val="double" w:sz="6" w:space="0" w:color="auto"/>
              <w:bottom w:val="double" w:sz="6" w:space="0" w:color="000000"/>
              <w:right w:val="double" w:sz="6" w:space="0" w:color="auto"/>
            </w:tcBorders>
            <w:vAlign w:val="center"/>
          </w:tcPr>
          <w:p w14:paraId="7B7D4EA5" w14:textId="77777777" w:rsidR="001B4284" w:rsidRPr="007466EF" w:rsidRDefault="001B4284" w:rsidP="001B4284">
            <w:pPr>
              <w:jc w:val="right"/>
              <w:rPr>
                <w:b/>
                <w:sz w:val="20"/>
                <w:szCs w:val="20"/>
              </w:rPr>
            </w:pPr>
            <w:r w:rsidRPr="007466EF">
              <w:rPr>
                <w:b/>
                <w:sz w:val="20"/>
                <w:szCs w:val="20"/>
              </w:rPr>
              <w:t>Stanje obveza po izdanim mjenicama u eurima</w:t>
            </w:r>
          </w:p>
        </w:tc>
        <w:tc>
          <w:tcPr>
            <w:tcW w:w="2835" w:type="dxa"/>
            <w:tcBorders>
              <w:top w:val="nil"/>
              <w:left w:val="nil"/>
              <w:bottom w:val="double" w:sz="6" w:space="0" w:color="auto"/>
              <w:right w:val="double" w:sz="6" w:space="0" w:color="auto"/>
            </w:tcBorders>
            <w:shd w:val="clear" w:color="auto" w:fill="auto"/>
            <w:noWrap/>
            <w:vAlign w:val="center"/>
          </w:tcPr>
          <w:p w14:paraId="113F0BF3" w14:textId="77777777" w:rsidR="001B4284" w:rsidRPr="007466EF" w:rsidRDefault="001B4284" w:rsidP="001B4284">
            <w:pPr>
              <w:jc w:val="right"/>
              <w:rPr>
                <w:b/>
                <w:sz w:val="20"/>
                <w:szCs w:val="20"/>
              </w:rPr>
            </w:pPr>
            <w:r w:rsidRPr="007466EF">
              <w:rPr>
                <w:b/>
                <w:sz w:val="20"/>
                <w:szCs w:val="20"/>
              </w:rPr>
              <w:t>591.808,42</w:t>
            </w:r>
          </w:p>
        </w:tc>
      </w:tr>
    </w:tbl>
    <w:p w14:paraId="147A40EC" w14:textId="77777777" w:rsidR="001B4284" w:rsidRPr="00FB0E6E" w:rsidRDefault="001B4284" w:rsidP="00FB0E6E">
      <w:pPr>
        <w:jc w:val="both"/>
      </w:pPr>
    </w:p>
    <w:p w14:paraId="311952DC" w14:textId="77777777" w:rsidR="001B4284" w:rsidRPr="007466EF" w:rsidRDefault="001B4284" w:rsidP="001B4284">
      <w:pPr>
        <w:keepNext/>
        <w:jc w:val="center"/>
        <w:rPr>
          <w:sz w:val="28"/>
        </w:rPr>
      </w:pPr>
      <w:r w:rsidRPr="007466EF">
        <w:rPr>
          <w:sz w:val="28"/>
        </w:rPr>
        <w:lastRenderedPageBreak/>
        <w:t>Bilješka 22.</w:t>
      </w:r>
    </w:p>
    <w:p w14:paraId="338C9372" w14:textId="77777777" w:rsidR="001B4284" w:rsidRPr="007466EF" w:rsidRDefault="001B4284" w:rsidP="001B4284">
      <w:pPr>
        <w:keepNext/>
        <w:jc w:val="center"/>
        <w:rPr>
          <w:bCs/>
          <w:sz w:val="28"/>
        </w:rPr>
      </w:pPr>
      <w:r w:rsidRPr="007466EF">
        <w:rPr>
          <w:bCs/>
          <w:sz w:val="28"/>
        </w:rPr>
        <w:t>Šifra 2542 Obveza za obveznice – inozemne</w:t>
      </w:r>
    </w:p>
    <w:p w14:paraId="330147DE" w14:textId="77777777" w:rsidR="001B4284" w:rsidRPr="007466EF" w:rsidRDefault="001B4284" w:rsidP="001B4284">
      <w:pPr>
        <w:jc w:val="both"/>
      </w:pPr>
      <w:r w:rsidRPr="007466EF">
        <w:t>Obveza za inozemne obveznice na dan 31. prosinca 2024. iskazane su u iznosu 14.525.000.000,00 eura</w:t>
      </w:r>
      <w:r w:rsidRPr="007466EF">
        <w:rPr>
          <w:bCs/>
        </w:rPr>
        <w:t xml:space="preserve"> </w:t>
      </w:r>
      <w:r w:rsidRPr="007466EF">
        <w:t>dok su na dan 1. siječnja 2024. iskazane u iznosu od 14.322.257.227,58 eura. Obveza za inozemne obveznice u iznosu od 14.525.000.000,00 eura iskazana na dan 31 prosinca 2024. odnosi se na obvezu za sve inozemne obveznice izdane do 31. prosinca 2024.</w:t>
      </w:r>
    </w:p>
    <w:p w14:paraId="532EE61D" w14:textId="77777777" w:rsidR="001B4284" w:rsidRPr="007466EF" w:rsidRDefault="001B4284" w:rsidP="001B4284">
      <w:pPr>
        <w:jc w:val="both"/>
      </w:pPr>
    </w:p>
    <w:p w14:paraId="493ED7E7" w14:textId="77777777" w:rsidR="001B4284" w:rsidRPr="007466EF" w:rsidRDefault="001B4284" w:rsidP="001B4284">
      <w:pPr>
        <w:jc w:val="both"/>
      </w:pPr>
      <w:r w:rsidRPr="007466EF">
        <w:t>U Tablici 8. dan je prikaz obveza po aktivnim obveznicama izdanim na međunarodnom tržištu kapitala na dan 31. prosinca 2024.</w:t>
      </w:r>
    </w:p>
    <w:p w14:paraId="0AED8BF1" w14:textId="77777777" w:rsidR="001B4284" w:rsidRPr="007466EF" w:rsidRDefault="001B4284" w:rsidP="001B4284">
      <w:pPr>
        <w:keepNext/>
        <w:jc w:val="both"/>
      </w:pPr>
    </w:p>
    <w:p w14:paraId="561E59EB" w14:textId="77777777" w:rsidR="001B4284" w:rsidRPr="007466EF" w:rsidRDefault="001B4284" w:rsidP="001B4284">
      <w:pPr>
        <w:keepNext/>
        <w:jc w:val="both"/>
        <w:rPr>
          <w:b/>
          <w:sz w:val="20"/>
          <w:szCs w:val="20"/>
        </w:rPr>
      </w:pPr>
      <w:r w:rsidRPr="007466EF">
        <w:rPr>
          <w:b/>
          <w:sz w:val="20"/>
          <w:szCs w:val="20"/>
        </w:rPr>
        <w:t>Tablica 8. Pregled aktivnih obveznica izdanih na međunarodnom tržištu kapitala</w:t>
      </w:r>
    </w:p>
    <w:tbl>
      <w:tblPr>
        <w:tblW w:w="7933" w:type="dxa"/>
        <w:jc w:val="center"/>
        <w:tblLook w:val="04A0" w:firstRow="1" w:lastRow="0" w:firstColumn="1" w:lastColumn="0" w:noHBand="0" w:noVBand="1"/>
      </w:tblPr>
      <w:tblGrid>
        <w:gridCol w:w="960"/>
        <w:gridCol w:w="3430"/>
        <w:gridCol w:w="1417"/>
        <w:gridCol w:w="2126"/>
      </w:tblGrid>
      <w:tr w:rsidR="001B4284" w:rsidRPr="007466EF" w14:paraId="5AADAF22" w14:textId="77777777" w:rsidTr="000F0D22">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C5D24" w14:textId="77777777" w:rsidR="001B4284" w:rsidRPr="007466EF" w:rsidRDefault="001B4284" w:rsidP="001B4284">
            <w:pPr>
              <w:jc w:val="center"/>
              <w:rPr>
                <w:b/>
                <w:bCs/>
                <w:sz w:val="20"/>
                <w:szCs w:val="20"/>
              </w:rPr>
            </w:pPr>
            <w:r w:rsidRPr="007466EF">
              <w:rPr>
                <w:b/>
                <w:bCs/>
                <w:sz w:val="20"/>
                <w:szCs w:val="20"/>
              </w:rPr>
              <w:t>Red. broj</w:t>
            </w:r>
          </w:p>
        </w:tc>
        <w:tc>
          <w:tcPr>
            <w:tcW w:w="3430" w:type="dxa"/>
            <w:tcBorders>
              <w:top w:val="single" w:sz="4" w:space="0" w:color="auto"/>
              <w:left w:val="nil"/>
              <w:bottom w:val="single" w:sz="4" w:space="0" w:color="auto"/>
              <w:right w:val="single" w:sz="4" w:space="0" w:color="auto"/>
            </w:tcBorders>
            <w:shd w:val="clear" w:color="auto" w:fill="auto"/>
            <w:noWrap/>
            <w:vAlign w:val="center"/>
            <w:hideMark/>
          </w:tcPr>
          <w:p w14:paraId="093E26F1" w14:textId="77777777" w:rsidR="001B4284" w:rsidRPr="007466EF" w:rsidRDefault="001B4284" w:rsidP="001B4284">
            <w:pPr>
              <w:jc w:val="center"/>
              <w:rPr>
                <w:b/>
                <w:bCs/>
                <w:sz w:val="20"/>
                <w:szCs w:val="20"/>
              </w:rPr>
            </w:pPr>
            <w:r w:rsidRPr="007466EF">
              <w:rPr>
                <w:b/>
                <w:bCs/>
                <w:sz w:val="20"/>
                <w:szCs w:val="20"/>
              </w:rPr>
              <w:t>Naziv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689E81" w14:textId="77777777" w:rsidR="001B4284" w:rsidRPr="007466EF" w:rsidRDefault="001B4284" w:rsidP="001B4284">
            <w:pPr>
              <w:jc w:val="center"/>
              <w:rPr>
                <w:b/>
                <w:bCs/>
                <w:sz w:val="20"/>
                <w:szCs w:val="20"/>
              </w:rPr>
            </w:pPr>
            <w:r w:rsidRPr="007466EF">
              <w:rPr>
                <w:b/>
                <w:bCs/>
                <w:sz w:val="20"/>
                <w:szCs w:val="20"/>
              </w:rPr>
              <w:t>Valuta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895821F" w14:textId="77777777" w:rsidR="001B4284" w:rsidRPr="007466EF" w:rsidRDefault="001B4284" w:rsidP="001B4284">
            <w:pPr>
              <w:jc w:val="center"/>
              <w:rPr>
                <w:b/>
                <w:bCs/>
                <w:sz w:val="20"/>
                <w:szCs w:val="20"/>
              </w:rPr>
            </w:pPr>
            <w:r w:rsidRPr="007466EF">
              <w:rPr>
                <w:b/>
                <w:bCs/>
                <w:sz w:val="20"/>
                <w:szCs w:val="20"/>
              </w:rPr>
              <w:t xml:space="preserve">Stanje obveza na 31.12.2024. </w:t>
            </w:r>
          </w:p>
        </w:tc>
      </w:tr>
      <w:tr w:rsidR="001B4284" w:rsidRPr="007466EF" w14:paraId="30AAA785" w14:textId="77777777" w:rsidTr="000F0D22">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49D51" w14:textId="77777777" w:rsidR="001B4284" w:rsidRPr="007466EF" w:rsidRDefault="001B4284" w:rsidP="001B4284">
            <w:pPr>
              <w:jc w:val="center"/>
              <w:rPr>
                <w:sz w:val="16"/>
                <w:szCs w:val="16"/>
              </w:rPr>
            </w:pPr>
            <w:r w:rsidRPr="007466EF">
              <w:rPr>
                <w:sz w:val="16"/>
                <w:szCs w:val="16"/>
              </w:rPr>
              <w:t>1.</w:t>
            </w:r>
          </w:p>
        </w:tc>
        <w:tc>
          <w:tcPr>
            <w:tcW w:w="3430" w:type="dxa"/>
            <w:tcBorders>
              <w:top w:val="single" w:sz="4" w:space="0" w:color="auto"/>
              <w:left w:val="nil"/>
              <w:bottom w:val="single" w:sz="4" w:space="0" w:color="auto"/>
              <w:right w:val="single" w:sz="4" w:space="0" w:color="auto"/>
            </w:tcBorders>
            <w:shd w:val="clear" w:color="auto" w:fill="auto"/>
            <w:noWrap/>
            <w:vAlign w:val="center"/>
            <w:hideMark/>
          </w:tcPr>
          <w:p w14:paraId="1BB410D5" w14:textId="77777777" w:rsidR="001B4284" w:rsidRPr="007466EF" w:rsidRDefault="001B4284" w:rsidP="001B4284">
            <w:pPr>
              <w:rPr>
                <w:sz w:val="16"/>
                <w:szCs w:val="16"/>
              </w:rPr>
            </w:pPr>
            <w:r w:rsidRPr="007466EF">
              <w:rPr>
                <w:sz w:val="16"/>
                <w:szCs w:val="16"/>
              </w:rPr>
              <w:t>Euro-EUR obveznice/X</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5F67E23" w14:textId="77777777" w:rsidR="001B4284" w:rsidRPr="007466EF" w:rsidRDefault="001B4284" w:rsidP="001B4284">
            <w:pPr>
              <w:jc w:val="center"/>
              <w:rPr>
                <w:sz w:val="16"/>
                <w:szCs w:val="16"/>
              </w:rPr>
            </w:pPr>
            <w:r w:rsidRPr="007466EF">
              <w:rPr>
                <w:sz w:val="16"/>
                <w:szCs w:val="16"/>
              </w:rPr>
              <w:t>EUR</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C51FED9" w14:textId="77777777" w:rsidR="001B4284" w:rsidRPr="007466EF" w:rsidRDefault="001B4284" w:rsidP="001B4284">
            <w:pPr>
              <w:jc w:val="right"/>
              <w:rPr>
                <w:sz w:val="16"/>
                <w:szCs w:val="16"/>
              </w:rPr>
            </w:pPr>
            <w:r w:rsidRPr="007466EF">
              <w:rPr>
                <w:sz w:val="16"/>
                <w:szCs w:val="16"/>
              </w:rPr>
              <w:t>1.500.000.000,00</w:t>
            </w:r>
          </w:p>
        </w:tc>
      </w:tr>
      <w:tr w:rsidR="001B4284" w:rsidRPr="007466EF" w14:paraId="145AA6B0"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E9673F" w14:textId="77777777" w:rsidR="001B4284" w:rsidRPr="007466EF" w:rsidRDefault="001B4284" w:rsidP="001B4284">
            <w:pPr>
              <w:jc w:val="center"/>
              <w:rPr>
                <w:sz w:val="16"/>
                <w:szCs w:val="16"/>
              </w:rPr>
            </w:pPr>
            <w:r w:rsidRPr="007466EF">
              <w:rPr>
                <w:sz w:val="16"/>
                <w:szCs w:val="16"/>
              </w:rPr>
              <w:t>2.</w:t>
            </w:r>
          </w:p>
        </w:tc>
        <w:tc>
          <w:tcPr>
            <w:tcW w:w="3430" w:type="dxa"/>
            <w:tcBorders>
              <w:top w:val="nil"/>
              <w:left w:val="nil"/>
              <w:bottom w:val="single" w:sz="4" w:space="0" w:color="auto"/>
              <w:right w:val="single" w:sz="4" w:space="0" w:color="auto"/>
            </w:tcBorders>
            <w:shd w:val="clear" w:color="auto" w:fill="auto"/>
            <w:noWrap/>
            <w:vAlign w:val="center"/>
            <w:hideMark/>
          </w:tcPr>
          <w:p w14:paraId="1E2A8BC5" w14:textId="77777777" w:rsidR="001B4284" w:rsidRPr="007466EF" w:rsidRDefault="001B4284" w:rsidP="001B4284">
            <w:pPr>
              <w:rPr>
                <w:sz w:val="16"/>
                <w:szCs w:val="16"/>
              </w:rPr>
            </w:pPr>
            <w:r w:rsidRPr="007466EF">
              <w:rPr>
                <w:sz w:val="16"/>
                <w:szCs w:val="16"/>
              </w:rPr>
              <w:t>Euro-EUR obveznice/XI</w:t>
            </w:r>
          </w:p>
        </w:tc>
        <w:tc>
          <w:tcPr>
            <w:tcW w:w="1417" w:type="dxa"/>
            <w:tcBorders>
              <w:top w:val="nil"/>
              <w:left w:val="nil"/>
              <w:bottom w:val="single" w:sz="4" w:space="0" w:color="auto"/>
              <w:right w:val="single" w:sz="4" w:space="0" w:color="auto"/>
            </w:tcBorders>
            <w:shd w:val="clear" w:color="auto" w:fill="auto"/>
            <w:noWrap/>
            <w:vAlign w:val="center"/>
            <w:hideMark/>
          </w:tcPr>
          <w:p w14:paraId="6140BAAA" w14:textId="77777777" w:rsidR="001B4284" w:rsidRPr="007466EF" w:rsidRDefault="001B4284" w:rsidP="001B4284">
            <w:pPr>
              <w:jc w:val="center"/>
              <w:rPr>
                <w:sz w:val="16"/>
                <w:szCs w:val="16"/>
              </w:rPr>
            </w:pPr>
            <w:r w:rsidRPr="007466EF">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0B45EB25" w14:textId="77777777" w:rsidR="001B4284" w:rsidRPr="007466EF" w:rsidRDefault="001B4284" w:rsidP="001B4284">
            <w:pPr>
              <w:jc w:val="right"/>
              <w:rPr>
                <w:sz w:val="16"/>
                <w:szCs w:val="16"/>
              </w:rPr>
            </w:pPr>
            <w:r w:rsidRPr="007466EF">
              <w:rPr>
                <w:sz w:val="16"/>
                <w:szCs w:val="16"/>
              </w:rPr>
              <w:t>1.250.000.000,00</w:t>
            </w:r>
          </w:p>
        </w:tc>
      </w:tr>
      <w:tr w:rsidR="001B4284" w:rsidRPr="007466EF" w14:paraId="353C2366"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B962E9" w14:textId="77777777" w:rsidR="001B4284" w:rsidRPr="007466EF" w:rsidRDefault="001B4284" w:rsidP="001B4284">
            <w:pPr>
              <w:jc w:val="center"/>
              <w:rPr>
                <w:sz w:val="16"/>
                <w:szCs w:val="16"/>
              </w:rPr>
            </w:pPr>
            <w:r w:rsidRPr="007466EF">
              <w:rPr>
                <w:sz w:val="16"/>
                <w:szCs w:val="16"/>
              </w:rPr>
              <w:t>3.</w:t>
            </w:r>
          </w:p>
        </w:tc>
        <w:tc>
          <w:tcPr>
            <w:tcW w:w="3430" w:type="dxa"/>
            <w:tcBorders>
              <w:top w:val="nil"/>
              <w:left w:val="nil"/>
              <w:bottom w:val="single" w:sz="4" w:space="0" w:color="auto"/>
              <w:right w:val="single" w:sz="4" w:space="0" w:color="auto"/>
            </w:tcBorders>
            <w:shd w:val="clear" w:color="auto" w:fill="auto"/>
            <w:noWrap/>
            <w:vAlign w:val="center"/>
            <w:hideMark/>
          </w:tcPr>
          <w:p w14:paraId="07146E99" w14:textId="77777777" w:rsidR="001B4284" w:rsidRPr="007466EF" w:rsidRDefault="001B4284" w:rsidP="001B4284">
            <w:pPr>
              <w:rPr>
                <w:sz w:val="16"/>
                <w:szCs w:val="16"/>
              </w:rPr>
            </w:pPr>
            <w:r w:rsidRPr="007466EF">
              <w:rPr>
                <w:sz w:val="16"/>
                <w:szCs w:val="16"/>
              </w:rPr>
              <w:t>Euro-EUR obveznice/XII</w:t>
            </w:r>
          </w:p>
        </w:tc>
        <w:tc>
          <w:tcPr>
            <w:tcW w:w="1417" w:type="dxa"/>
            <w:tcBorders>
              <w:top w:val="nil"/>
              <w:left w:val="nil"/>
              <w:bottom w:val="single" w:sz="4" w:space="0" w:color="auto"/>
              <w:right w:val="single" w:sz="4" w:space="0" w:color="auto"/>
            </w:tcBorders>
            <w:shd w:val="clear" w:color="auto" w:fill="auto"/>
            <w:noWrap/>
            <w:vAlign w:val="center"/>
            <w:hideMark/>
          </w:tcPr>
          <w:p w14:paraId="35E39110" w14:textId="77777777" w:rsidR="001B4284" w:rsidRPr="007466EF" w:rsidRDefault="001B4284" w:rsidP="001B4284">
            <w:pPr>
              <w:jc w:val="center"/>
              <w:rPr>
                <w:sz w:val="16"/>
                <w:szCs w:val="16"/>
              </w:rPr>
            </w:pPr>
            <w:r w:rsidRPr="007466EF">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7640F677" w14:textId="77777777" w:rsidR="001B4284" w:rsidRPr="007466EF" w:rsidRDefault="001B4284" w:rsidP="001B4284">
            <w:pPr>
              <w:jc w:val="right"/>
              <w:rPr>
                <w:sz w:val="16"/>
                <w:szCs w:val="16"/>
              </w:rPr>
            </w:pPr>
            <w:r w:rsidRPr="007466EF">
              <w:rPr>
                <w:sz w:val="16"/>
                <w:szCs w:val="16"/>
              </w:rPr>
              <w:t>1.275.000.000,00</w:t>
            </w:r>
          </w:p>
        </w:tc>
      </w:tr>
      <w:tr w:rsidR="001B4284" w:rsidRPr="007466EF" w14:paraId="0176E008"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26D6BF" w14:textId="77777777" w:rsidR="001B4284" w:rsidRPr="007466EF" w:rsidRDefault="001B4284" w:rsidP="001B4284">
            <w:pPr>
              <w:jc w:val="center"/>
              <w:rPr>
                <w:sz w:val="16"/>
                <w:szCs w:val="16"/>
              </w:rPr>
            </w:pPr>
            <w:r w:rsidRPr="007466EF">
              <w:rPr>
                <w:sz w:val="16"/>
                <w:szCs w:val="16"/>
              </w:rPr>
              <w:t>4.</w:t>
            </w:r>
          </w:p>
        </w:tc>
        <w:tc>
          <w:tcPr>
            <w:tcW w:w="3430" w:type="dxa"/>
            <w:tcBorders>
              <w:top w:val="nil"/>
              <w:left w:val="nil"/>
              <w:bottom w:val="single" w:sz="4" w:space="0" w:color="auto"/>
              <w:right w:val="single" w:sz="4" w:space="0" w:color="auto"/>
            </w:tcBorders>
            <w:shd w:val="clear" w:color="auto" w:fill="auto"/>
            <w:noWrap/>
            <w:vAlign w:val="center"/>
            <w:hideMark/>
          </w:tcPr>
          <w:p w14:paraId="70093D4B" w14:textId="77777777" w:rsidR="001B4284" w:rsidRPr="007466EF" w:rsidRDefault="001B4284" w:rsidP="001B4284">
            <w:pPr>
              <w:rPr>
                <w:sz w:val="16"/>
                <w:szCs w:val="16"/>
              </w:rPr>
            </w:pPr>
            <w:r w:rsidRPr="007466EF">
              <w:rPr>
                <w:sz w:val="16"/>
                <w:szCs w:val="16"/>
              </w:rPr>
              <w:t>Euro-EUR obveznice/XIII</w:t>
            </w:r>
          </w:p>
        </w:tc>
        <w:tc>
          <w:tcPr>
            <w:tcW w:w="1417" w:type="dxa"/>
            <w:tcBorders>
              <w:top w:val="nil"/>
              <w:left w:val="nil"/>
              <w:bottom w:val="single" w:sz="4" w:space="0" w:color="auto"/>
              <w:right w:val="single" w:sz="4" w:space="0" w:color="auto"/>
            </w:tcBorders>
            <w:shd w:val="clear" w:color="auto" w:fill="auto"/>
            <w:noWrap/>
            <w:vAlign w:val="center"/>
            <w:hideMark/>
          </w:tcPr>
          <w:p w14:paraId="2D815345" w14:textId="77777777" w:rsidR="001B4284" w:rsidRPr="007466EF" w:rsidRDefault="001B4284" w:rsidP="001B4284">
            <w:pPr>
              <w:jc w:val="center"/>
              <w:rPr>
                <w:sz w:val="16"/>
                <w:szCs w:val="16"/>
              </w:rPr>
            </w:pPr>
            <w:r w:rsidRPr="007466EF">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55643CA1" w14:textId="77777777" w:rsidR="001B4284" w:rsidRPr="007466EF" w:rsidRDefault="001B4284" w:rsidP="001B4284">
            <w:pPr>
              <w:jc w:val="right"/>
              <w:rPr>
                <w:sz w:val="16"/>
                <w:szCs w:val="16"/>
              </w:rPr>
            </w:pPr>
            <w:r w:rsidRPr="007466EF">
              <w:rPr>
                <w:sz w:val="16"/>
                <w:szCs w:val="16"/>
              </w:rPr>
              <w:t>750.000.000,00</w:t>
            </w:r>
          </w:p>
        </w:tc>
      </w:tr>
      <w:tr w:rsidR="001B4284" w:rsidRPr="007466EF" w14:paraId="7C282F06"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7D49D4" w14:textId="77777777" w:rsidR="001B4284" w:rsidRPr="007466EF" w:rsidRDefault="001B4284" w:rsidP="001B4284">
            <w:pPr>
              <w:jc w:val="center"/>
              <w:rPr>
                <w:sz w:val="16"/>
                <w:szCs w:val="16"/>
              </w:rPr>
            </w:pPr>
            <w:r w:rsidRPr="007466EF">
              <w:rPr>
                <w:sz w:val="16"/>
                <w:szCs w:val="16"/>
              </w:rPr>
              <w:t>5.</w:t>
            </w:r>
          </w:p>
        </w:tc>
        <w:tc>
          <w:tcPr>
            <w:tcW w:w="3430" w:type="dxa"/>
            <w:tcBorders>
              <w:top w:val="nil"/>
              <w:left w:val="nil"/>
              <w:bottom w:val="single" w:sz="4" w:space="0" w:color="auto"/>
              <w:right w:val="single" w:sz="4" w:space="0" w:color="auto"/>
            </w:tcBorders>
            <w:shd w:val="clear" w:color="auto" w:fill="auto"/>
            <w:noWrap/>
            <w:vAlign w:val="center"/>
            <w:hideMark/>
          </w:tcPr>
          <w:p w14:paraId="09862954" w14:textId="77777777" w:rsidR="001B4284" w:rsidRPr="007466EF" w:rsidRDefault="001B4284" w:rsidP="001B4284">
            <w:pPr>
              <w:rPr>
                <w:sz w:val="16"/>
                <w:szCs w:val="16"/>
              </w:rPr>
            </w:pPr>
            <w:r w:rsidRPr="007466EF">
              <w:rPr>
                <w:sz w:val="16"/>
                <w:szCs w:val="16"/>
              </w:rPr>
              <w:t>Euro-EUR obveznice/XIV</w:t>
            </w:r>
          </w:p>
        </w:tc>
        <w:tc>
          <w:tcPr>
            <w:tcW w:w="1417" w:type="dxa"/>
            <w:tcBorders>
              <w:top w:val="nil"/>
              <w:left w:val="nil"/>
              <w:bottom w:val="single" w:sz="4" w:space="0" w:color="auto"/>
              <w:right w:val="single" w:sz="4" w:space="0" w:color="auto"/>
            </w:tcBorders>
            <w:shd w:val="clear" w:color="auto" w:fill="auto"/>
            <w:noWrap/>
            <w:vAlign w:val="center"/>
            <w:hideMark/>
          </w:tcPr>
          <w:p w14:paraId="7AEC3C40" w14:textId="77777777" w:rsidR="001B4284" w:rsidRPr="007466EF" w:rsidRDefault="001B4284" w:rsidP="001B4284">
            <w:pPr>
              <w:jc w:val="center"/>
              <w:rPr>
                <w:sz w:val="16"/>
                <w:szCs w:val="16"/>
              </w:rPr>
            </w:pPr>
            <w:r w:rsidRPr="007466EF">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53D0610E" w14:textId="77777777" w:rsidR="001B4284" w:rsidRPr="007466EF" w:rsidRDefault="001B4284" w:rsidP="001B4284">
            <w:pPr>
              <w:jc w:val="right"/>
              <w:rPr>
                <w:sz w:val="16"/>
                <w:szCs w:val="16"/>
              </w:rPr>
            </w:pPr>
            <w:r w:rsidRPr="007466EF">
              <w:rPr>
                <w:sz w:val="16"/>
                <w:szCs w:val="16"/>
              </w:rPr>
              <w:t>1.500.000.000,00</w:t>
            </w:r>
          </w:p>
        </w:tc>
      </w:tr>
      <w:tr w:rsidR="001B4284" w:rsidRPr="007466EF" w14:paraId="33A5DCF2"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A0EA53" w14:textId="77777777" w:rsidR="001B4284" w:rsidRPr="007466EF" w:rsidRDefault="001B4284" w:rsidP="001B4284">
            <w:pPr>
              <w:jc w:val="center"/>
              <w:rPr>
                <w:sz w:val="16"/>
                <w:szCs w:val="16"/>
              </w:rPr>
            </w:pPr>
            <w:r w:rsidRPr="007466EF">
              <w:rPr>
                <w:sz w:val="16"/>
                <w:szCs w:val="16"/>
              </w:rPr>
              <w:t>6.</w:t>
            </w:r>
          </w:p>
        </w:tc>
        <w:tc>
          <w:tcPr>
            <w:tcW w:w="3430" w:type="dxa"/>
            <w:tcBorders>
              <w:top w:val="nil"/>
              <w:left w:val="nil"/>
              <w:bottom w:val="single" w:sz="4" w:space="0" w:color="auto"/>
              <w:right w:val="single" w:sz="4" w:space="0" w:color="auto"/>
            </w:tcBorders>
            <w:shd w:val="clear" w:color="auto" w:fill="auto"/>
            <w:noWrap/>
            <w:vAlign w:val="center"/>
            <w:hideMark/>
          </w:tcPr>
          <w:p w14:paraId="344A306B" w14:textId="77777777" w:rsidR="001B4284" w:rsidRPr="007466EF" w:rsidRDefault="001B4284" w:rsidP="001B4284">
            <w:pPr>
              <w:rPr>
                <w:sz w:val="16"/>
                <w:szCs w:val="16"/>
              </w:rPr>
            </w:pPr>
            <w:r w:rsidRPr="007466EF">
              <w:rPr>
                <w:sz w:val="16"/>
                <w:szCs w:val="16"/>
              </w:rPr>
              <w:t>Euro-EUR obveznice/XIX</w:t>
            </w:r>
          </w:p>
        </w:tc>
        <w:tc>
          <w:tcPr>
            <w:tcW w:w="1417" w:type="dxa"/>
            <w:tcBorders>
              <w:top w:val="nil"/>
              <w:left w:val="nil"/>
              <w:bottom w:val="single" w:sz="4" w:space="0" w:color="auto"/>
              <w:right w:val="single" w:sz="4" w:space="0" w:color="auto"/>
            </w:tcBorders>
            <w:shd w:val="clear" w:color="auto" w:fill="auto"/>
            <w:noWrap/>
            <w:vAlign w:val="center"/>
            <w:hideMark/>
          </w:tcPr>
          <w:p w14:paraId="1D30508A" w14:textId="77777777" w:rsidR="001B4284" w:rsidRPr="007466EF" w:rsidRDefault="001B4284" w:rsidP="001B4284">
            <w:pPr>
              <w:jc w:val="center"/>
              <w:rPr>
                <w:sz w:val="16"/>
                <w:szCs w:val="16"/>
              </w:rPr>
            </w:pPr>
            <w:r w:rsidRPr="007466EF">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618E858A" w14:textId="77777777" w:rsidR="001B4284" w:rsidRPr="007466EF" w:rsidRDefault="001B4284" w:rsidP="001B4284">
            <w:pPr>
              <w:jc w:val="right"/>
              <w:rPr>
                <w:sz w:val="16"/>
                <w:szCs w:val="16"/>
              </w:rPr>
            </w:pPr>
            <w:r w:rsidRPr="007466EF">
              <w:rPr>
                <w:sz w:val="16"/>
                <w:szCs w:val="16"/>
              </w:rPr>
              <w:t>1.500.000.000,00</w:t>
            </w:r>
          </w:p>
        </w:tc>
      </w:tr>
      <w:tr w:rsidR="001B4284" w:rsidRPr="007466EF" w14:paraId="05335D5A"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19F345" w14:textId="77777777" w:rsidR="001B4284" w:rsidRPr="007466EF" w:rsidRDefault="001B4284" w:rsidP="001B4284">
            <w:pPr>
              <w:jc w:val="center"/>
              <w:rPr>
                <w:sz w:val="16"/>
                <w:szCs w:val="16"/>
              </w:rPr>
            </w:pPr>
            <w:r w:rsidRPr="007466EF">
              <w:rPr>
                <w:sz w:val="16"/>
                <w:szCs w:val="16"/>
              </w:rPr>
              <w:t>7.</w:t>
            </w:r>
          </w:p>
        </w:tc>
        <w:tc>
          <w:tcPr>
            <w:tcW w:w="3430" w:type="dxa"/>
            <w:tcBorders>
              <w:top w:val="nil"/>
              <w:left w:val="nil"/>
              <w:bottom w:val="single" w:sz="4" w:space="0" w:color="auto"/>
              <w:right w:val="single" w:sz="4" w:space="0" w:color="auto"/>
            </w:tcBorders>
            <w:shd w:val="clear" w:color="auto" w:fill="auto"/>
            <w:noWrap/>
            <w:vAlign w:val="center"/>
            <w:hideMark/>
          </w:tcPr>
          <w:p w14:paraId="6796A995" w14:textId="77777777" w:rsidR="001B4284" w:rsidRPr="007466EF" w:rsidRDefault="001B4284" w:rsidP="001B4284">
            <w:pPr>
              <w:rPr>
                <w:sz w:val="16"/>
                <w:szCs w:val="16"/>
              </w:rPr>
            </w:pPr>
            <w:r w:rsidRPr="007466EF">
              <w:rPr>
                <w:sz w:val="16"/>
                <w:szCs w:val="16"/>
              </w:rPr>
              <w:t>Euro-EUR obveznice/XV</w:t>
            </w:r>
          </w:p>
        </w:tc>
        <w:tc>
          <w:tcPr>
            <w:tcW w:w="1417" w:type="dxa"/>
            <w:tcBorders>
              <w:top w:val="nil"/>
              <w:left w:val="nil"/>
              <w:bottom w:val="single" w:sz="4" w:space="0" w:color="auto"/>
              <w:right w:val="single" w:sz="4" w:space="0" w:color="auto"/>
            </w:tcBorders>
            <w:shd w:val="clear" w:color="auto" w:fill="auto"/>
            <w:noWrap/>
            <w:vAlign w:val="center"/>
            <w:hideMark/>
          </w:tcPr>
          <w:p w14:paraId="19F49B5D" w14:textId="77777777" w:rsidR="001B4284" w:rsidRPr="007466EF" w:rsidRDefault="001B4284" w:rsidP="001B4284">
            <w:pPr>
              <w:jc w:val="center"/>
              <w:rPr>
                <w:sz w:val="16"/>
                <w:szCs w:val="16"/>
              </w:rPr>
            </w:pPr>
            <w:r w:rsidRPr="007466EF">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57F8F748" w14:textId="77777777" w:rsidR="001B4284" w:rsidRPr="007466EF" w:rsidRDefault="001B4284" w:rsidP="001B4284">
            <w:pPr>
              <w:jc w:val="right"/>
              <w:rPr>
                <w:sz w:val="16"/>
                <w:szCs w:val="16"/>
              </w:rPr>
            </w:pPr>
            <w:r w:rsidRPr="007466EF">
              <w:rPr>
                <w:sz w:val="16"/>
                <w:szCs w:val="16"/>
              </w:rPr>
              <w:t>2.000.000.000,00</w:t>
            </w:r>
          </w:p>
        </w:tc>
      </w:tr>
      <w:tr w:rsidR="001B4284" w:rsidRPr="007466EF" w14:paraId="7F366B22"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90F128" w14:textId="77777777" w:rsidR="001B4284" w:rsidRPr="007466EF" w:rsidRDefault="001B4284" w:rsidP="001B4284">
            <w:pPr>
              <w:jc w:val="center"/>
              <w:rPr>
                <w:sz w:val="16"/>
                <w:szCs w:val="16"/>
              </w:rPr>
            </w:pPr>
            <w:r w:rsidRPr="007466EF">
              <w:rPr>
                <w:sz w:val="16"/>
                <w:szCs w:val="16"/>
              </w:rPr>
              <w:t>8.</w:t>
            </w:r>
          </w:p>
        </w:tc>
        <w:tc>
          <w:tcPr>
            <w:tcW w:w="3430" w:type="dxa"/>
            <w:tcBorders>
              <w:top w:val="nil"/>
              <w:left w:val="nil"/>
              <w:bottom w:val="single" w:sz="4" w:space="0" w:color="auto"/>
              <w:right w:val="single" w:sz="4" w:space="0" w:color="auto"/>
            </w:tcBorders>
            <w:shd w:val="clear" w:color="auto" w:fill="auto"/>
            <w:noWrap/>
            <w:vAlign w:val="center"/>
            <w:hideMark/>
          </w:tcPr>
          <w:p w14:paraId="39804C7F" w14:textId="77777777" w:rsidR="001B4284" w:rsidRPr="007466EF" w:rsidRDefault="001B4284" w:rsidP="001B4284">
            <w:pPr>
              <w:rPr>
                <w:sz w:val="16"/>
                <w:szCs w:val="16"/>
              </w:rPr>
            </w:pPr>
            <w:r w:rsidRPr="007466EF">
              <w:rPr>
                <w:sz w:val="16"/>
                <w:szCs w:val="16"/>
              </w:rPr>
              <w:t>Euro-EUR obveznice/XVI</w:t>
            </w:r>
          </w:p>
        </w:tc>
        <w:tc>
          <w:tcPr>
            <w:tcW w:w="1417" w:type="dxa"/>
            <w:tcBorders>
              <w:top w:val="nil"/>
              <w:left w:val="nil"/>
              <w:bottom w:val="single" w:sz="4" w:space="0" w:color="auto"/>
              <w:right w:val="single" w:sz="4" w:space="0" w:color="auto"/>
            </w:tcBorders>
            <w:shd w:val="clear" w:color="auto" w:fill="auto"/>
            <w:noWrap/>
            <w:vAlign w:val="center"/>
            <w:hideMark/>
          </w:tcPr>
          <w:p w14:paraId="0A036A20" w14:textId="77777777" w:rsidR="001B4284" w:rsidRPr="007466EF" w:rsidRDefault="001B4284" w:rsidP="001B4284">
            <w:pPr>
              <w:jc w:val="center"/>
              <w:rPr>
                <w:sz w:val="16"/>
                <w:szCs w:val="16"/>
              </w:rPr>
            </w:pPr>
            <w:r w:rsidRPr="007466EF">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400AF3C4" w14:textId="77777777" w:rsidR="001B4284" w:rsidRPr="007466EF" w:rsidRDefault="001B4284" w:rsidP="001B4284">
            <w:pPr>
              <w:jc w:val="right"/>
              <w:rPr>
                <w:sz w:val="16"/>
                <w:szCs w:val="16"/>
              </w:rPr>
            </w:pPr>
            <w:r w:rsidRPr="007466EF">
              <w:rPr>
                <w:sz w:val="16"/>
                <w:szCs w:val="16"/>
              </w:rPr>
              <w:t>1.000.000.000,00</w:t>
            </w:r>
          </w:p>
        </w:tc>
      </w:tr>
      <w:tr w:rsidR="001B4284" w:rsidRPr="007466EF" w14:paraId="172BF87F"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B8FBBF" w14:textId="77777777" w:rsidR="001B4284" w:rsidRPr="007466EF" w:rsidRDefault="001B4284" w:rsidP="001B4284">
            <w:pPr>
              <w:jc w:val="center"/>
              <w:rPr>
                <w:sz w:val="16"/>
                <w:szCs w:val="16"/>
              </w:rPr>
            </w:pPr>
            <w:r w:rsidRPr="007466EF">
              <w:rPr>
                <w:sz w:val="16"/>
                <w:szCs w:val="16"/>
              </w:rPr>
              <w:t>9.</w:t>
            </w:r>
          </w:p>
        </w:tc>
        <w:tc>
          <w:tcPr>
            <w:tcW w:w="3430" w:type="dxa"/>
            <w:tcBorders>
              <w:top w:val="nil"/>
              <w:left w:val="nil"/>
              <w:bottom w:val="single" w:sz="4" w:space="0" w:color="auto"/>
              <w:right w:val="single" w:sz="4" w:space="0" w:color="auto"/>
            </w:tcBorders>
            <w:shd w:val="clear" w:color="auto" w:fill="auto"/>
            <w:noWrap/>
            <w:vAlign w:val="center"/>
            <w:hideMark/>
          </w:tcPr>
          <w:p w14:paraId="049ECD18" w14:textId="77777777" w:rsidR="001B4284" w:rsidRPr="007466EF" w:rsidRDefault="001B4284" w:rsidP="001B4284">
            <w:pPr>
              <w:rPr>
                <w:sz w:val="16"/>
                <w:szCs w:val="16"/>
              </w:rPr>
            </w:pPr>
            <w:r w:rsidRPr="007466EF">
              <w:rPr>
                <w:sz w:val="16"/>
                <w:szCs w:val="16"/>
              </w:rPr>
              <w:t>Euro-EUR obveznice/XVII</w:t>
            </w:r>
          </w:p>
        </w:tc>
        <w:tc>
          <w:tcPr>
            <w:tcW w:w="1417" w:type="dxa"/>
            <w:tcBorders>
              <w:top w:val="nil"/>
              <w:left w:val="nil"/>
              <w:bottom w:val="single" w:sz="4" w:space="0" w:color="auto"/>
              <w:right w:val="single" w:sz="4" w:space="0" w:color="auto"/>
            </w:tcBorders>
            <w:shd w:val="clear" w:color="auto" w:fill="auto"/>
            <w:noWrap/>
            <w:vAlign w:val="center"/>
            <w:hideMark/>
          </w:tcPr>
          <w:p w14:paraId="5B2ECB1D" w14:textId="77777777" w:rsidR="001B4284" w:rsidRPr="007466EF" w:rsidRDefault="001B4284" w:rsidP="001B4284">
            <w:pPr>
              <w:jc w:val="center"/>
              <w:rPr>
                <w:sz w:val="16"/>
                <w:szCs w:val="16"/>
              </w:rPr>
            </w:pPr>
            <w:r w:rsidRPr="007466EF">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2D32F69F" w14:textId="77777777" w:rsidR="001B4284" w:rsidRPr="007466EF" w:rsidRDefault="001B4284" w:rsidP="001B4284">
            <w:pPr>
              <w:jc w:val="right"/>
              <w:rPr>
                <w:sz w:val="16"/>
                <w:szCs w:val="16"/>
              </w:rPr>
            </w:pPr>
            <w:r w:rsidRPr="007466EF">
              <w:rPr>
                <w:sz w:val="16"/>
                <w:szCs w:val="16"/>
              </w:rPr>
              <w:t>1.000.000.000,00</w:t>
            </w:r>
          </w:p>
        </w:tc>
      </w:tr>
      <w:tr w:rsidR="001B4284" w:rsidRPr="007466EF" w14:paraId="08772570"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E8E599" w14:textId="77777777" w:rsidR="001B4284" w:rsidRPr="007466EF" w:rsidRDefault="001B4284" w:rsidP="001B4284">
            <w:pPr>
              <w:jc w:val="center"/>
              <w:rPr>
                <w:sz w:val="16"/>
                <w:szCs w:val="16"/>
              </w:rPr>
            </w:pPr>
            <w:r w:rsidRPr="007466EF">
              <w:rPr>
                <w:sz w:val="16"/>
                <w:szCs w:val="16"/>
              </w:rPr>
              <w:t>10.</w:t>
            </w:r>
          </w:p>
        </w:tc>
        <w:tc>
          <w:tcPr>
            <w:tcW w:w="3430" w:type="dxa"/>
            <w:tcBorders>
              <w:top w:val="nil"/>
              <w:left w:val="nil"/>
              <w:bottom w:val="single" w:sz="4" w:space="0" w:color="auto"/>
              <w:right w:val="single" w:sz="4" w:space="0" w:color="auto"/>
            </w:tcBorders>
            <w:shd w:val="clear" w:color="auto" w:fill="auto"/>
            <w:noWrap/>
            <w:vAlign w:val="center"/>
            <w:hideMark/>
          </w:tcPr>
          <w:p w14:paraId="5DBCE0AB" w14:textId="77777777" w:rsidR="001B4284" w:rsidRPr="007466EF" w:rsidRDefault="001B4284" w:rsidP="001B4284">
            <w:pPr>
              <w:rPr>
                <w:sz w:val="16"/>
                <w:szCs w:val="16"/>
              </w:rPr>
            </w:pPr>
            <w:r w:rsidRPr="007466EF">
              <w:rPr>
                <w:sz w:val="16"/>
                <w:szCs w:val="16"/>
              </w:rPr>
              <w:t>Euro-EUR obveznice/XVIII</w:t>
            </w:r>
          </w:p>
        </w:tc>
        <w:tc>
          <w:tcPr>
            <w:tcW w:w="1417" w:type="dxa"/>
            <w:tcBorders>
              <w:top w:val="nil"/>
              <w:left w:val="nil"/>
              <w:bottom w:val="single" w:sz="4" w:space="0" w:color="auto"/>
              <w:right w:val="single" w:sz="4" w:space="0" w:color="auto"/>
            </w:tcBorders>
            <w:shd w:val="clear" w:color="auto" w:fill="auto"/>
            <w:noWrap/>
            <w:vAlign w:val="center"/>
            <w:hideMark/>
          </w:tcPr>
          <w:p w14:paraId="3203E1E7" w14:textId="77777777" w:rsidR="001B4284" w:rsidRPr="007466EF" w:rsidRDefault="001B4284" w:rsidP="001B4284">
            <w:pPr>
              <w:jc w:val="center"/>
              <w:rPr>
                <w:sz w:val="16"/>
                <w:szCs w:val="16"/>
              </w:rPr>
            </w:pPr>
            <w:r w:rsidRPr="007466EF">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59FE3654" w14:textId="77777777" w:rsidR="001B4284" w:rsidRPr="007466EF" w:rsidRDefault="001B4284" w:rsidP="001B4284">
            <w:pPr>
              <w:jc w:val="right"/>
              <w:rPr>
                <w:sz w:val="16"/>
                <w:szCs w:val="16"/>
              </w:rPr>
            </w:pPr>
            <w:r w:rsidRPr="007466EF">
              <w:rPr>
                <w:sz w:val="16"/>
                <w:szCs w:val="16"/>
              </w:rPr>
              <w:t>1.250.000.000,00</w:t>
            </w:r>
          </w:p>
        </w:tc>
      </w:tr>
      <w:tr w:rsidR="001B4284" w:rsidRPr="007466EF" w14:paraId="1A019270" w14:textId="77777777" w:rsidTr="000F0D22">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E3E2E6" w14:textId="77777777" w:rsidR="001B4284" w:rsidRPr="007466EF" w:rsidRDefault="001B4284" w:rsidP="001B4284">
            <w:pPr>
              <w:jc w:val="center"/>
              <w:rPr>
                <w:sz w:val="16"/>
                <w:szCs w:val="16"/>
              </w:rPr>
            </w:pPr>
            <w:r w:rsidRPr="007466EF">
              <w:rPr>
                <w:sz w:val="16"/>
                <w:szCs w:val="16"/>
              </w:rPr>
              <w:t>11.</w:t>
            </w:r>
          </w:p>
        </w:tc>
        <w:tc>
          <w:tcPr>
            <w:tcW w:w="3430" w:type="dxa"/>
            <w:tcBorders>
              <w:top w:val="nil"/>
              <w:left w:val="nil"/>
              <w:bottom w:val="single" w:sz="4" w:space="0" w:color="auto"/>
              <w:right w:val="single" w:sz="4" w:space="0" w:color="auto"/>
            </w:tcBorders>
            <w:shd w:val="clear" w:color="auto" w:fill="auto"/>
            <w:noWrap/>
            <w:vAlign w:val="center"/>
            <w:hideMark/>
          </w:tcPr>
          <w:p w14:paraId="0A8467A7" w14:textId="77777777" w:rsidR="001B4284" w:rsidRPr="007466EF" w:rsidRDefault="001B4284" w:rsidP="001B4284">
            <w:pPr>
              <w:rPr>
                <w:sz w:val="16"/>
                <w:szCs w:val="16"/>
              </w:rPr>
            </w:pPr>
            <w:r w:rsidRPr="007466EF">
              <w:rPr>
                <w:sz w:val="16"/>
                <w:szCs w:val="16"/>
              </w:rPr>
              <w:t>Euro-EUR obveznice/XX</w:t>
            </w:r>
          </w:p>
        </w:tc>
        <w:tc>
          <w:tcPr>
            <w:tcW w:w="1417" w:type="dxa"/>
            <w:tcBorders>
              <w:top w:val="nil"/>
              <w:left w:val="nil"/>
              <w:bottom w:val="single" w:sz="4" w:space="0" w:color="auto"/>
              <w:right w:val="single" w:sz="4" w:space="0" w:color="auto"/>
            </w:tcBorders>
            <w:shd w:val="clear" w:color="auto" w:fill="auto"/>
            <w:noWrap/>
            <w:vAlign w:val="center"/>
            <w:hideMark/>
          </w:tcPr>
          <w:p w14:paraId="148919D5" w14:textId="77777777" w:rsidR="001B4284" w:rsidRPr="007466EF" w:rsidRDefault="001B4284" w:rsidP="001B4284">
            <w:pPr>
              <w:jc w:val="center"/>
              <w:rPr>
                <w:sz w:val="16"/>
                <w:szCs w:val="16"/>
              </w:rPr>
            </w:pPr>
            <w:r w:rsidRPr="007466EF">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6AB0C1A4" w14:textId="77777777" w:rsidR="001B4284" w:rsidRPr="007466EF" w:rsidRDefault="001B4284" w:rsidP="001B4284">
            <w:pPr>
              <w:jc w:val="right"/>
              <w:rPr>
                <w:sz w:val="16"/>
                <w:szCs w:val="16"/>
              </w:rPr>
            </w:pPr>
            <w:r w:rsidRPr="007466EF">
              <w:rPr>
                <w:sz w:val="16"/>
                <w:szCs w:val="16"/>
              </w:rPr>
              <w:t>1.500.000.000,00</w:t>
            </w:r>
          </w:p>
        </w:tc>
      </w:tr>
      <w:tr w:rsidR="001B4284" w:rsidRPr="007466EF" w14:paraId="14E7A50E" w14:textId="77777777" w:rsidTr="000F0D22">
        <w:trPr>
          <w:trHeight w:val="330"/>
          <w:jc w:val="center"/>
        </w:trPr>
        <w:tc>
          <w:tcPr>
            <w:tcW w:w="96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495B8EB4" w14:textId="77777777" w:rsidR="001B4284" w:rsidRPr="007466EF" w:rsidRDefault="001B4284" w:rsidP="001B4284">
            <w:pPr>
              <w:jc w:val="center"/>
              <w:rPr>
                <w:sz w:val="16"/>
                <w:szCs w:val="16"/>
              </w:rPr>
            </w:pPr>
            <w:r w:rsidRPr="007466EF">
              <w:rPr>
                <w:sz w:val="16"/>
                <w:szCs w:val="16"/>
              </w:rPr>
              <w:t> </w:t>
            </w:r>
          </w:p>
        </w:tc>
        <w:tc>
          <w:tcPr>
            <w:tcW w:w="3430" w:type="dxa"/>
            <w:tcBorders>
              <w:top w:val="double" w:sz="6" w:space="0" w:color="auto"/>
              <w:left w:val="nil"/>
              <w:bottom w:val="double" w:sz="6" w:space="0" w:color="auto"/>
              <w:right w:val="double" w:sz="6" w:space="0" w:color="auto"/>
            </w:tcBorders>
            <w:shd w:val="clear" w:color="auto" w:fill="auto"/>
            <w:noWrap/>
            <w:vAlign w:val="center"/>
            <w:hideMark/>
          </w:tcPr>
          <w:p w14:paraId="587E7C2F" w14:textId="77777777" w:rsidR="001B4284" w:rsidRPr="007466EF" w:rsidRDefault="001B4284" w:rsidP="001B4284">
            <w:pPr>
              <w:rPr>
                <w:b/>
                <w:bCs/>
                <w:sz w:val="16"/>
                <w:szCs w:val="16"/>
              </w:rPr>
            </w:pPr>
            <w:r w:rsidRPr="007466EF">
              <w:rPr>
                <w:b/>
                <w:bCs/>
                <w:sz w:val="16"/>
                <w:szCs w:val="16"/>
              </w:rPr>
              <w:t>Ukupno:</w:t>
            </w:r>
          </w:p>
        </w:tc>
        <w:tc>
          <w:tcPr>
            <w:tcW w:w="1417" w:type="dxa"/>
            <w:tcBorders>
              <w:top w:val="double" w:sz="6" w:space="0" w:color="auto"/>
              <w:left w:val="nil"/>
              <w:bottom w:val="double" w:sz="6" w:space="0" w:color="auto"/>
              <w:right w:val="double" w:sz="6" w:space="0" w:color="auto"/>
            </w:tcBorders>
            <w:shd w:val="clear" w:color="auto" w:fill="auto"/>
            <w:noWrap/>
            <w:vAlign w:val="center"/>
            <w:hideMark/>
          </w:tcPr>
          <w:p w14:paraId="076F0D64" w14:textId="77777777" w:rsidR="001B4284" w:rsidRPr="007466EF" w:rsidRDefault="001B4284" w:rsidP="001B4284">
            <w:pPr>
              <w:jc w:val="center"/>
              <w:rPr>
                <w:b/>
                <w:bCs/>
                <w:sz w:val="16"/>
                <w:szCs w:val="16"/>
              </w:rPr>
            </w:pPr>
            <w:r w:rsidRPr="007466EF">
              <w:rPr>
                <w:b/>
                <w:bCs/>
                <w:sz w:val="16"/>
                <w:szCs w:val="16"/>
              </w:rPr>
              <w:t>EUR</w:t>
            </w:r>
          </w:p>
        </w:tc>
        <w:tc>
          <w:tcPr>
            <w:tcW w:w="2126" w:type="dxa"/>
            <w:tcBorders>
              <w:top w:val="double" w:sz="6" w:space="0" w:color="auto"/>
              <w:left w:val="nil"/>
              <w:bottom w:val="double" w:sz="6" w:space="0" w:color="auto"/>
              <w:right w:val="double" w:sz="6" w:space="0" w:color="auto"/>
            </w:tcBorders>
            <w:shd w:val="clear" w:color="auto" w:fill="auto"/>
            <w:noWrap/>
            <w:vAlign w:val="center"/>
            <w:hideMark/>
          </w:tcPr>
          <w:p w14:paraId="4A616189" w14:textId="77777777" w:rsidR="001B4284" w:rsidRPr="007466EF" w:rsidRDefault="001B4284" w:rsidP="001B4284">
            <w:pPr>
              <w:jc w:val="right"/>
              <w:rPr>
                <w:b/>
                <w:bCs/>
                <w:sz w:val="16"/>
                <w:szCs w:val="16"/>
              </w:rPr>
            </w:pPr>
            <w:r w:rsidRPr="007466EF">
              <w:rPr>
                <w:b/>
                <w:bCs/>
                <w:sz w:val="16"/>
                <w:szCs w:val="16"/>
              </w:rPr>
              <w:t>14.525.000.000,00</w:t>
            </w:r>
          </w:p>
        </w:tc>
      </w:tr>
    </w:tbl>
    <w:p w14:paraId="15B3CD39" w14:textId="77777777" w:rsidR="001B4284" w:rsidRPr="007466EF" w:rsidRDefault="001B4284" w:rsidP="001B4284">
      <w:pPr>
        <w:keepNext/>
        <w:jc w:val="both"/>
        <w:rPr>
          <w:b/>
          <w:sz w:val="20"/>
          <w:szCs w:val="20"/>
        </w:rPr>
      </w:pPr>
    </w:p>
    <w:p w14:paraId="2DD4D3F5" w14:textId="77777777" w:rsidR="001B4284" w:rsidRPr="007466EF" w:rsidRDefault="001B4284" w:rsidP="00FB0E6E">
      <w:pPr>
        <w:jc w:val="both"/>
      </w:pPr>
      <w:r w:rsidRPr="007466EF">
        <w:rPr>
          <w:rFonts w:eastAsia="Calibri"/>
        </w:rPr>
        <w:t xml:space="preserve">Republika Hrvatska, zastupana po Ministarstvu financija, realizirala je na međunarodnom financijskom tržištu izdanje </w:t>
      </w:r>
      <w:proofErr w:type="spellStart"/>
      <w:r w:rsidRPr="007466EF">
        <w:rPr>
          <w:rFonts w:eastAsia="Calibri"/>
        </w:rPr>
        <w:t>euroobveznica</w:t>
      </w:r>
      <w:proofErr w:type="spellEnd"/>
      <w:r w:rsidRPr="007466EF">
        <w:rPr>
          <w:rFonts w:eastAsia="Calibri"/>
        </w:rPr>
        <w:t xml:space="preserve">, koje dospijevaju 2035. u nominalnom iznosu od 1,50 milijardi eura. Ovo izdanje obveznica realizirano je po cijeni od 99,560% i godišnju kamatnu stopu od 4,00%. </w:t>
      </w:r>
      <w:r w:rsidRPr="007466EF">
        <w:t>Voditelji izdanja bili su BNP Paribas, J.P. Morgan SE, Raiffeisen Bank International AG.</w:t>
      </w:r>
    </w:p>
    <w:p w14:paraId="58D42615" w14:textId="77777777" w:rsidR="001B4284" w:rsidRPr="00FB0E6E" w:rsidRDefault="001B4284" w:rsidP="00FB0E6E">
      <w:pPr>
        <w:jc w:val="both"/>
      </w:pPr>
    </w:p>
    <w:p w14:paraId="5DC5E9CA" w14:textId="77777777" w:rsidR="001B4284" w:rsidRPr="007466EF" w:rsidRDefault="001B4284" w:rsidP="001B4284">
      <w:pPr>
        <w:jc w:val="center"/>
      </w:pPr>
      <w:r w:rsidRPr="007466EF">
        <w:rPr>
          <w:bCs/>
          <w:sz w:val="28"/>
          <w:szCs w:val="28"/>
        </w:rPr>
        <w:t>Bilješka 23.</w:t>
      </w:r>
    </w:p>
    <w:p w14:paraId="0CA6D562" w14:textId="77777777" w:rsidR="001B4284" w:rsidRPr="007466EF" w:rsidRDefault="001B4284" w:rsidP="001B4284">
      <w:pPr>
        <w:jc w:val="center"/>
      </w:pPr>
      <w:r w:rsidRPr="007466EF">
        <w:rPr>
          <w:sz w:val="28"/>
          <w:szCs w:val="28"/>
        </w:rPr>
        <w:t>Šifra 2622 Obveze za kredite od kreditnih institucija u javnom sektoru</w:t>
      </w:r>
    </w:p>
    <w:p w14:paraId="7754D2C3" w14:textId="77777777" w:rsidR="001B4284" w:rsidRPr="007466EF" w:rsidRDefault="001B4284" w:rsidP="001B4284">
      <w:pPr>
        <w:jc w:val="both"/>
      </w:pPr>
      <w:r w:rsidRPr="007466EF">
        <w:t>Stanje obveza za kredite od kreditnih institucija u javnom sektoru na dan 31. prosinca 2024. iskazano je u iznosu od 118.850.735,30 eura</w:t>
      </w:r>
      <w:r w:rsidRPr="007466EF">
        <w:rPr>
          <w:bCs/>
        </w:rPr>
        <w:t xml:space="preserve"> </w:t>
      </w:r>
      <w:r w:rsidRPr="007466EF">
        <w:t>dok je na dan 1. siječnja 2024. iskazan iznos od 237.900.621,72 eura što predstavlja smanjenje od 50% u promatranom razdoblju.</w:t>
      </w:r>
    </w:p>
    <w:p w14:paraId="0C266B98" w14:textId="77777777" w:rsidR="001B4284" w:rsidRPr="007466EF" w:rsidRDefault="001B4284" w:rsidP="001B4284">
      <w:pPr>
        <w:jc w:val="both"/>
      </w:pPr>
    </w:p>
    <w:p w14:paraId="38FA574C" w14:textId="77777777" w:rsidR="001B4284" w:rsidRPr="007466EF" w:rsidRDefault="001B4284" w:rsidP="001B4284">
      <w:pPr>
        <w:jc w:val="both"/>
      </w:pPr>
      <w:r w:rsidRPr="007466EF">
        <w:t>Najznačajnije smanjenje u stanju obveza iskazanih na dan 31. prosinca 2024. u odnosu na stanje 1. siječnja 2024. odnosi se na otplatu glavnice kredita kod Hrvatske poštanske banke temeljem Ugovora o kreditu za likvidnost u iznosu od 99,5 milijuna eura.</w:t>
      </w:r>
    </w:p>
    <w:p w14:paraId="76F3D779" w14:textId="77777777" w:rsidR="001B4284" w:rsidRPr="007466EF" w:rsidRDefault="001B4284" w:rsidP="001B4284">
      <w:pPr>
        <w:jc w:val="both"/>
      </w:pPr>
    </w:p>
    <w:p w14:paraId="039E2722" w14:textId="77777777" w:rsidR="001B4284" w:rsidRPr="007466EF" w:rsidRDefault="001B4284" w:rsidP="001B4284">
      <w:pPr>
        <w:jc w:val="both"/>
      </w:pPr>
      <w:r w:rsidRPr="007466EF">
        <w:t xml:space="preserve">Analitički prikaz obveza za kredite od kreditnih institucija u javnom sektoru sa stanjem na dan 31. prosinca 2024. u iznosu od 118.850.735,30 eura daje se u Tablici 9. </w:t>
      </w:r>
    </w:p>
    <w:p w14:paraId="655005A9" w14:textId="77777777" w:rsidR="001B4284" w:rsidRPr="007466EF" w:rsidRDefault="001B4284" w:rsidP="001B4284">
      <w:pPr>
        <w:keepNext/>
        <w:jc w:val="both"/>
        <w:rPr>
          <w:b/>
          <w:sz w:val="20"/>
          <w:szCs w:val="20"/>
        </w:rPr>
      </w:pPr>
    </w:p>
    <w:p w14:paraId="49F61B15" w14:textId="77777777" w:rsidR="001B4284" w:rsidRPr="007466EF" w:rsidRDefault="001B4284" w:rsidP="001B4284">
      <w:pPr>
        <w:keepNext/>
        <w:jc w:val="both"/>
        <w:rPr>
          <w:b/>
          <w:sz w:val="20"/>
          <w:szCs w:val="20"/>
        </w:rPr>
      </w:pPr>
      <w:r w:rsidRPr="007466EF">
        <w:rPr>
          <w:b/>
          <w:sz w:val="20"/>
          <w:szCs w:val="20"/>
        </w:rPr>
        <w:t>Tablica 9. Pregled obveza za kredite od kreditnih institucija u javnom sektoru</w:t>
      </w:r>
    </w:p>
    <w:tbl>
      <w:tblPr>
        <w:tblW w:w="8359" w:type="dxa"/>
        <w:jc w:val="center"/>
        <w:tblLook w:val="04A0" w:firstRow="1" w:lastRow="0" w:firstColumn="1" w:lastColumn="0" w:noHBand="0" w:noVBand="1"/>
      </w:tblPr>
      <w:tblGrid>
        <w:gridCol w:w="910"/>
        <w:gridCol w:w="4047"/>
        <w:gridCol w:w="992"/>
        <w:gridCol w:w="850"/>
        <w:gridCol w:w="1560"/>
      </w:tblGrid>
      <w:tr w:rsidR="001B4284" w:rsidRPr="007466EF" w14:paraId="2ADFE0D8" w14:textId="77777777" w:rsidTr="000F0D22">
        <w:trPr>
          <w:trHeight w:val="420"/>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9C3AF" w14:textId="77777777" w:rsidR="001B4284" w:rsidRPr="007466EF" w:rsidRDefault="001B4284" w:rsidP="001B4284">
            <w:pPr>
              <w:jc w:val="center"/>
              <w:rPr>
                <w:b/>
                <w:bCs/>
                <w:sz w:val="20"/>
                <w:szCs w:val="20"/>
              </w:rPr>
            </w:pPr>
            <w:r w:rsidRPr="007466EF">
              <w:rPr>
                <w:b/>
                <w:bCs/>
                <w:sz w:val="20"/>
                <w:szCs w:val="20"/>
              </w:rPr>
              <w:t>Red. broj</w:t>
            </w:r>
          </w:p>
        </w:tc>
        <w:tc>
          <w:tcPr>
            <w:tcW w:w="4047" w:type="dxa"/>
            <w:tcBorders>
              <w:top w:val="single" w:sz="4" w:space="0" w:color="auto"/>
              <w:left w:val="nil"/>
              <w:bottom w:val="single" w:sz="4" w:space="0" w:color="auto"/>
              <w:right w:val="single" w:sz="4" w:space="0" w:color="auto"/>
            </w:tcBorders>
            <w:shd w:val="clear" w:color="auto" w:fill="auto"/>
            <w:noWrap/>
            <w:vAlign w:val="center"/>
            <w:hideMark/>
          </w:tcPr>
          <w:p w14:paraId="3754B5E4" w14:textId="77777777" w:rsidR="001B4284" w:rsidRPr="007466EF" w:rsidRDefault="001B4284" w:rsidP="001B4284">
            <w:pPr>
              <w:jc w:val="center"/>
              <w:rPr>
                <w:b/>
                <w:bCs/>
                <w:sz w:val="20"/>
                <w:szCs w:val="20"/>
              </w:rPr>
            </w:pPr>
            <w:r w:rsidRPr="007466EF">
              <w:rPr>
                <w:b/>
                <w:bCs/>
                <w:sz w:val="20"/>
                <w:szCs w:val="20"/>
              </w:rPr>
              <w:t>Namjena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D2B0D7" w14:textId="77777777" w:rsidR="001B4284" w:rsidRPr="007466EF" w:rsidRDefault="001B4284" w:rsidP="001B4284">
            <w:pPr>
              <w:jc w:val="center"/>
              <w:rPr>
                <w:b/>
                <w:bCs/>
                <w:sz w:val="20"/>
                <w:szCs w:val="20"/>
              </w:rPr>
            </w:pPr>
            <w:r w:rsidRPr="007466EF">
              <w:rPr>
                <w:b/>
                <w:bCs/>
                <w:sz w:val="20"/>
                <w:szCs w:val="20"/>
              </w:rPr>
              <w:t>Banka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D6F235" w14:textId="77777777" w:rsidR="001B4284" w:rsidRPr="007466EF" w:rsidRDefault="001B4284" w:rsidP="001B4284">
            <w:pPr>
              <w:jc w:val="center"/>
              <w:rPr>
                <w:b/>
                <w:bCs/>
                <w:sz w:val="20"/>
                <w:szCs w:val="20"/>
              </w:rPr>
            </w:pPr>
            <w:r w:rsidRPr="007466EF">
              <w:rPr>
                <w:b/>
                <w:bCs/>
                <w:sz w:val="20"/>
                <w:szCs w:val="20"/>
              </w:rPr>
              <w:t>Valuta</w:t>
            </w:r>
          </w:p>
        </w:tc>
        <w:tc>
          <w:tcPr>
            <w:tcW w:w="1560" w:type="dxa"/>
            <w:tcBorders>
              <w:top w:val="single" w:sz="4" w:space="0" w:color="auto"/>
              <w:left w:val="nil"/>
              <w:bottom w:val="nil"/>
              <w:right w:val="single" w:sz="4" w:space="0" w:color="auto"/>
            </w:tcBorders>
            <w:shd w:val="clear" w:color="auto" w:fill="auto"/>
            <w:vAlign w:val="center"/>
            <w:hideMark/>
          </w:tcPr>
          <w:p w14:paraId="6916CDBE" w14:textId="77777777" w:rsidR="001B4284" w:rsidRPr="007466EF" w:rsidRDefault="001B4284" w:rsidP="001B4284">
            <w:pPr>
              <w:jc w:val="center"/>
              <w:rPr>
                <w:b/>
                <w:bCs/>
                <w:sz w:val="20"/>
                <w:szCs w:val="20"/>
              </w:rPr>
            </w:pPr>
            <w:r w:rsidRPr="007466EF">
              <w:rPr>
                <w:b/>
                <w:bCs/>
                <w:sz w:val="20"/>
                <w:szCs w:val="20"/>
              </w:rPr>
              <w:t xml:space="preserve">Stanje obveza na 31.12.2024. </w:t>
            </w:r>
          </w:p>
        </w:tc>
      </w:tr>
      <w:tr w:rsidR="001B4284" w:rsidRPr="007466EF" w14:paraId="55D4C314"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69C18ABE" w14:textId="77777777" w:rsidR="001B4284" w:rsidRPr="007466EF" w:rsidRDefault="001B4284" w:rsidP="001B4284">
            <w:pPr>
              <w:jc w:val="center"/>
              <w:rPr>
                <w:sz w:val="16"/>
                <w:szCs w:val="16"/>
              </w:rPr>
            </w:pPr>
            <w:r w:rsidRPr="007466EF">
              <w:rPr>
                <w:sz w:val="16"/>
                <w:szCs w:val="16"/>
              </w:rPr>
              <w:t>1.</w:t>
            </w:r>
          </w:p>
        </w:tc>
        <w:tc>
          <w:tcPr>
            <w:tcW w:w="4047" w:type="dxa"/>
            <w:tcBorders>
              <w:top w:val="nil"/>
              <w:left w:val="nil"/>
              <w:bottom w:val="single" w:sz="4" w:space="0" w:color="auto"/>
              <w:right w:val="single" w:sz="4" w:space="0" w:color="auto"/>
            </w:tcBorders>
            <w:shd w:val="clear" w:color="auto" w:fill="auto"/>
            <w:noWrap/>
            <w:vAlign w:val="center"/>
            <w:hideMark/>
          </w:tcPr>
          <w:p w14:paraId="40F497C8" w14:textId="77777777" w:rsidR="001B4284" w:rsidRPr="007466EF" w:rsidRDefault="001B4284" w:rsidP="001B4284">
            <w:pPr>
              <w:rPr>
                <w:sz w:val="16"/>
                <w:szCs w:val="16"/>
              </w:rPr>
            </w:pPr>
            <w:r w:rsidRPr="007466EF">
              <w:rPr>
                <w:sz w:val="16"/>
                <w:szCs w:val="16"/>
              </w:rPr>
              <w:t>Hrvatske vode KO-09/12 - projekt navodnjavanja</w:t>
            </w:r>
          </w:p>
        </w:tc>
        <w:tc>
          <w:tcPr>
            <w:tcW w:w="992" w:type="dxa"/>
            <w:tcBorders>
              <w:top w:val="nil"/>
              <w:left w:val="nil"/>
              <w:bottom w:val="single" w:sz="4" w:space="0" w:color="auto"/>
              <w:right w:val="single" w:sz="4" w:space="0" w:color="auto"/>
            </w:tcBorders>
            <w:shd w:val="clear" w:color="auto" w:fill="auto"/>
            <w:noWrap/>
            <w:vAlign w:val="center"/>
            <w:hideMark/>
          </w:tcPr>
          <w:p w14:paraId="026F97B2" w14:textId="77777777" w:rsidR="001B4284" w:rsidRPr="007466EF" w:rsidRDefault="001B4284" w:rsidP="001B4284">
            <w:pPr>
              <w:jc w:val="center"/>
              <w:rPr>
                <w:sz w:val="16"/>
                <w:szCs w:val="16"/>
              </w:rPr>
            </w:pPr>
            <w:r w:rsidRPr="007466EF">
              <w:rPr>
                <w:sz w:val="16"/>
                <w:szCs w:val="16"/>
              </w:rPr>
              <w:t>HBOR</w:t>
            </w:r>
          </w:p>
        </w:tc>
        <w:tc>
          <w:tcPr>
            <w:tcW w:w="850" w:type="dxa"/>
            <w:tcBorders>
              <w:top w:val="nil"/>
              <w:left w:val="nil"/>
              <w:bottom w:val="nil"/>
              <w:right w:val="single" w:sz="4" w:space="0" w:color="auto"/>
            </w:tcBorders>
            <w:shd w:val="clear" w:color="auto" w:fill="auto"/>
            <w:noWrap/>
            <w:vAlign w:val="center"/>
            <w:hideMark/>
          </w:tcPr>
          <w:p w14:paraId="0E1B3872" w14:textId="77777777" w:rsidR="001B4284" w:rsidRPr="007466EF" w:rsidRDefault="001B4284" w:rsidP="001B4284">
            <w:pPr>
              <w:jc w:val="center"/>
              <w:rPr>
                <w:sz w:val="16"/>
                <w:szCs w:val="16"/>
              </w:rPr>
            </w:pPr>
            <w:r w:rsidRPr="007466EF">
              <w:rPr>
                <w:sz w:val="16"/>
                <w:szCs w:val="16"/>
              </w:rPr>
              <w:t>EUR</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5512A68" w14:textId="77777777" w:rsidR="001B4284" w:rsidRPr="007466EF" w:rsidRDefault="001B4284" w:rsidP="001B4284">
            <w:pPr>
              <w:jc w:val="right"/>
              <w:rPr>
                <w:sz w:val="16"/>
                <w:szCs w:val="16"/>
              </w:rPr>
            </w:pPr>
            <w:r w:rsidRPr="007466EF">
              <w:rPr>
                <w:sz w:val="16"/>
                <w:szCs w:val="16"/>
              </w:rPr>
              <w:t>4.180.768,57</w:t>
            </w:r>
          </w:p>
        </w:tc>
      </w:tr>
      <w:tr w:rsidR="001B4284" w:rsidRPr="007466EF" w14:paraId="5F6774C3"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5E4CB44D" w14:textId="77777777" w:rsidR="001B4284" w:rsidRPr="007466EF" w:rsidRDefault="001B4284" w:rsidP="001B4284">
            <w:pPr>
              <w:jc w:val="center"/>
              <w:rPr>
                <w:sz w:val="16"/>
                <w:szCs w:val="16"/>
              </w:rPr>
            </w:pPr>
            <w:r w:rsidRPr="007466EF">
              <w:rPr>
                <w:sz w:val="16"/>
                <w:szCs w:val="16"/>
              </w:rPr>
              <w:lastRenderedPageBreak/>
              <w:t>2.</w:t>
            </w:r>
          </w:p>
        </w:tc>
        <w:tc>
          <w:tcPr>
            <w:tcW w:w="4047" w:type="dxa"/>
            <w:tcBorders>
              <w:top w:val="nil"/>
              <w:left w:val="nil"/>
              <w:bottom w:val="nil"/>
              <w:right w:val="single" w:sz="4" w:space="0" w:color="auto"/>
            </w:tcBorders>
            <w:shd w:val="clear" w:color="auto" w:fill="auto"/>
            <w:noWrap/>
            <w:vAlign w:val="center"/>
            <w:hideMark/>
          </w:tcPr>
          <w:p w14:paraId="3FADC63D" w14:textId="77777777" w:rsidR="001B4284" w:rsidRPr="007466EF" w:rsidRDefault="001B4284" w:rsidP="001B4284">
            <w:pPr>
              <w:rPr>
                <w:sz w:val="16"/>
                <w:szCs w:val="16"/>
              </w:rPr>
            </w:pPr>
            <w:r w:rsidRPr="007466EF">
              <w:rPr>
                <w:sz w:val="16"/>
                <w:szCs w:val="16"/>
              </w:rPr>
              <w:t>HŽ Putnički prijevoz F-001-14 preuzeto 2015.</w:t>
            </w:r>
          </w:p>
        </w:tc>
        <w:tc>
          <w:tcPr>
            <w:tcW w:w="992" w:type="dxa"/>
            <w:tcBorders>
              <w:top w:val="nil"/>
              <w:left w:val="nil"/>
              <w:bottom w:val="nil"/>
              <w:right w:val="single" w:sz="4" w:space="0" w:color="auto"/>
            </w:tcBorders>
            <w:shd w:val="clear" w:color="auto" w:fill="auto"/>
            <w:noWrap/>
            <w:vAlign w:val="center"/>
            <w:hideMark/>
          </w:tcPr>
          <w:p w14:paraId="089AEAF4" w14:textId="77777777" w:rsidR="001B4284" w:rsidRPr="007466EF" w:rsidRDefault="001B4284" w:rsidP="001B4284">
            <w:pPr>
              <w:jc w:val="center"/>
              <w:rPr>
                <w:sz w:val="16"/>
                <w:szCs w:val="16"/>
              </w:rPr>
            </w:pPr>
            <w:r w:rsidRPr="007466EF">
              <w:rPr>
                <w:sz w:val="16"/>
                <w:szCs w:val="16"/>
              </w:rPr>
              <w:t>HBOR</w:t>
            </w:r>
          </w:p>
        </w:tc>
        <w:tc>
          <w:tcPr>
            <w:tcW w:w="850" w:type="dxa"/>
            <w:tcBorders>
              <w:top w:val="single" w:sz="4" w:space="0" w:color="auto"/>
              <w:left w:val="nil"/>
              <w:bottom w:val="nil"/>
              <w:right w:val="single" w:sz="4" w:space="0" w:color="auto"/>
            </w:tcBorders>
            <w:shd w:val="clear" w:color="auto" w:fill="auto"/>
            <w:noWrap/>
            <w:vAlign w:val="center"/>
            <w:hideMark/>
          </w:tcPr>
          <w:p w14:paraId="3A344F7C" w14:textId="77777777" w:rsidR="001B4284" w:rsidRPr="007466EF" w:rsidRDefault="001B4284" w:rsidP="001B4284">
            <w:pPr>
              <w:jc w:val="center"/>
              <w:rPr>
                <w:sz w:val="16"/>
                <w:szCs w:val="16"/>
              </w:rPr>
            </w:pPr>
            <w:r w:rsidRPr="007466EF">
              <w:rPr>
                <w:sz w:val="16"/>
                <w:szCs w:val="16"/>
              </w:rPr>
              <w:t>EUR</w:t>
            </w:r>
          </w:p>
        </w:tc>
        <w:tc>
          <w:tcPr>
            <w:tcW w:w="1560" w:type="dxa"/>
            <w:tcBorders>
              <w:top w:val="nil"/>
              <w:left w:val="nil"/>
              <w:bottom w:val="nil"/>
              <w:right w:val="single" w:sz="4" w:space="0" w:color="auto"/>
            </w:tcBorders>
            <w:shd w:val="clear" w:color="auto" w:fill="auto"/>
            <w:noWrap/>
            <w:vAlign w:val="center"/>
            <w:hideMark/>
          </w:tcPr>
          <w:p w14:paraId="03DA0E69" w14:textId="77777777" w:rsidR="001B4284" w:rsidRPr="007466EF" w:rsidRDefault="001B4284" w:rsidP="001B4284">
            <w:pPr>
              <w:jc w:val="right"/>
              <w:rPr>
                <w:sz w:val="16"/>
                <w:szCs w:val="16"/>
              </w:rPr>
            </w:pPr>
            <w:r w:rsidRPr="007466EF">
              <w:rPr>
                <w:sz w:val="16"/>
                <w:szCs w:val="16"/>
              </w:rPr>
              <w:t>43.981.538,31</w:t>
            </w:r>
          </w:p>
        </w:tc>
      </w:tr>
      <w:tr w:rsidR="001B4284" w:rsidRPr="007466EF" w14:paraId="0BDE6206"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1EF73389" w14:textId="77777777" w:rsidR="001B4284" w:rsidRPr="007466EF" w:rsidRDefault="001B4284" w:rsidP="001B4284">
            <w:pPr>
              <w:jc w:val="center"/>
              <w:rPr>
                <w:sz w:val="16"/>
                <w:szCs w:val="16"/>
              </w:rPr>
            </w:pPr>
            <w:r w:rsidRPr="007466EF">
              <w:rPr>
                <w:sz w:val="16"/>
                <w:szCs w:val="16"/>
              </w:rPr>
              <w:t>3.</w:t>
            </w:r>
          </w:p>
        </w:tc>
        <w:tc>
          <w:tcPr>
            <w:tcW w:w="4047" w:type="dxa"/>
            <w:tcBorders>
              <w:top w:val="single" w:sz="4" w:space="0" w:color="auto"/>
              <w:left w:val="nil"/>
              <w:bottom w:val="nil"/>
              <w:right w:val="single" w:sz="4" w:space="0" w:color="auto"/>
            </w:tcBorders>
            <w:shd w:val="clear" w:color="auto" w:fill="auto"/>
            <w:noWrap/>
            <w:vAlign w:val="center"/>
            <w:hideMark/>
          </w:tcPr>
          <w:p w14:paraId="0C80C851" w14:textId="77777777" w:rsidR="001B4284" w:rsidRPr="007466EF" w:rsidRDefault="001B4284" w:rsidP="001B4284">
            <w:pPr>
              <w:rPr>
                <w:sz w:val="16"/>
                <w:szCs w:val="16"/>
              </w:rPr>
            </w:pPr>
            <w:r w:rsidRPr="007466EF">
              <w:rPr>
                <w:sz w:val="16"/>
                <w:szCs w:val="16"/>
              </w:rPr>
              <w:t xml:space="preserve">HPB HRK 500 </w:t>
            </w:r>
            <w:proofErr w:type="spellStart"/>
            <w:r w:rsidRPr="007466EF">
              <w:rPr>
                <w:sz w:val="16"/>
                <w:szCs w:val="16"/>
              </w:rPr>
              <w:t>mil</w:t>
            </w:r>
            <w:proofErr w:type="spellEnd"/>
            <w:r w:rsidRPr="007466EF">
              <w:rPr>
                <w:sz w:val="16"/>
                <w:szCs w:val="16"/>
              </w:rPr>
              <w:t xml:space="preserve">. D-2025 </w:t>
            </w:r>
          </w:p>
        </w:tc>
        <w:tc>
          <w:tcPr>
            <w:tcW w:w="992" w:type="dxa"/>
            <w:tcBorders>
              <w:top w:val="single" w:sz="4" w:space="0" w:color="auto"/>
              <w:left w:val="nil"/>
              <w:bottom w:val="nil"/>
              <w:right w:val="single" w:sz="4" w:space="0" w:color="auto"/>
            </w:tcBorders>
            <w:shd w:val="clear" w:color="auto" w:fill="auto"/>
            <w:noWrap/>
            <w:vAlign w:val="center"/>
            <w:hideMark/>
          </w:tcPr>
          <w:p w14:paraId="43919215" w14:textId="77777777" w:rsidR="001B4284" w:rsidRPr="007466EF" w:rsidRDefault="001B4284" w:rsidP="001B4284">
            <w:pPr>
              <w:jc w:val="center"/>
              <w:rPr>
                <w:sz w:val="16"/>
                <w:szCs w:val="16"/>
              </w:rPr>
            </w:pPr>
            <w:r w:rsidRPr="007466EF">
              <w:rPr>
                <w:sz w:val="16"/>
                <w:szCs w:val="16"/>
              </w:rPr>
              <w:t>HPB</w:t>
            </w:r>
          </w:p>
        </w:tc>
        <w:tc>
          <w:tcPr>
            <w:tcW w:w="850" w:type="dxa"/>
            <w:tcBorders>
              <w:top w:val="single" w:sz="4" w:space="0" w:color="auto"/>
              <w:left w:val="nil"/>
              <w:bottom w:val="nil"/>
              <w:right w:val="single" w:sz="4" w:space="0" w:color="auto"/>
            </w:tcBorders>
            <w:shd w:val="clear" w:color="auto" w:fill="auto"/>
            <w:noWrap/>
            <w:vAlign w:val="center"/>
            <w:hideMark/>
          </w:tcPr>
          <w:p w14:paraId="429E147C" w14:textId="77777777" w:rsidR="001B4284" w:rsidRPr="007466EF" w:rsidRDefault="001B4284" w:rsidP="001B4284">
            <w:pPr>
              <w:jc w:val="center"/>
              <w:rPr>
                <w:sz w:val="16"/>
                <w:szCs w:val="16"/>
              </w:rPr>
            </w:pPr>
            <w:r w:rsidRPr="007466EF">
              <w:rPr>
                <w:sz w:val="16"/>
                <w:szCs w:val="16"/>
              </w:rPr>
              <w:t>EUR</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5849F41" w14:textId="77777777" w:rsidR="001B4284" w:rsidRPr="007466EF" w:rsidRDefault="001B4284" w:rsidP="001B4284">
            <w:pPr>
              <w:jc w:val="right"/>
              <w:rPr>
                <w:sz w:val="16"/>
                <w:szCs w:val="16"/>
              </w:rPr>
            </w:pPr>
            <w:r w:rsidRPr="007466EF">
              <w:rPr>
                <w:sz w:val="16"/>
                <w:szCs w:val="16"/>
              </w:rPr>
              <w:t>50.434.667,25</w:t>
            </w:r>
          </w:p>
        </w:tc>
      </w:tr>
      <w:tr w:rsidR="001B4284" w:rsidRPr="007466EF" w14:paraId="02148D95"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6D6338C0" w14:textId="77777777" w:rsidR="001B4284" w:rsidRPr="007466EF" w:rsidRDefault="001B4284" w:rsidP="001B4284">
            <w:pPr>
              <w:jc w:val="center"/>
              <w:rPr>
                <w:sz w:val="16"/>
                <w:szCs w:val="16"/>
              </w:rPr>
            </w:pPr>
            <w:r w:rsidRPr="007466EF">
              <w:rPr>
                <w:sz w:val="16"/>
                <w:szCs w:val="16"/>
              </w:rPr>
              <w:t>4.</w:t>
            </w:r>
          </w:p>
        </w:tc>
        <w:tc>
          <w:tcPr>
            <w:tcW w:w="4047" w:type="dxa"/>
            <w:tcBorders>
              <w:top w:val="single" w:sz="4" w:space="0" w:color="auto"/>
              <w:left w:val="nil"/>
              <w:bottom w:val="single" w:sz="4" w:space="0" w:color="auto"/>
              <w:right w:val="single" w:sz="4" w:space="0" w:color="auto"/>
            </w:tcBorders>
            <w:shd w:val="clear" w:color="auto" w:fill="auto"/>
            <w:noWrap/>
            <w:vAlign w:val="center"/>
            <w:hideMark/>
          </w:tcPr>
          <w:p w14:paraId="1284FCE9" w14:textId="77777777" w:rsidR="001B4284" w:rsidRPr="007466EF" w:rsidRDefault="001B4284" w:rsidP="001B4284">
            <w:pPr>
              <w:rPr>
                <w:sz w:val="16"/>
                <w:szCs w:val="16"/>
              </w:rPr>
            </w:pPr>
            <w:r w:rsidRPr="007466EF">
              <w:rPr>
                <w:sz w:val="16"/>
                <w:szCs w:val="16"/>
              </w:rPr>
              <w:t xml:space="preserve">HBOR HRK 136 </w:t>
            </w:r>
            <w:proofErr w:type="spellStart"/>
            <w:r w:rsidRPr="007466EF">
              <w:rPr>
                <w:sz w:val="16"/>
                <w:szCs w:val="16"/>
              </w:rPr>
              <w:t>mil</w:t>
            </w:r>
            <w:proofErr w:type="spellEnd"/>
            <w:r w:rsidRPr="007466EF">
              <w:rPr>
                <w:sz w:val="16"/>
                <w:szCs w:val="16"/>
              </w:rPr>
              <w:t xml:space="preserve">. preuzeto 2022 (Đuro Đaković grupa)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E74480" w14:textId="77777777" w:rsidR="001B4284" w:rsidRPr="007466EF" w:rsidRDefault="001B4284" w:rsidP="001B4284">
            <w:pPr>
              <w:jc w:val="center"/>
              <w:rPr>
                <w:sz w:val="16"/>
                <w:szCs w:val="16"/>
              </w:rPr>
            </w:pPr>
            <w:r w:rsidRPr="007466EF">
              <w:rPr>
                <w:sz w:val="16"/>
                <w:szCs w:val="16"/>
              </w:rPr>
              <w:t>HBOR</w:t>
            </w:r>
          </w:p>
        </w:tc>
        <w:tc>
          <w:tcPr>
            <w:tcW w:w="850" w:type="dxa"/>
            <w:tcBorders>
              <w:top w:val="single" w:sz="4" w:space="0" w:color="auto"/>
              <w:left w:val="nil"/>
              <w:bottom w:val="nil"/>
              <w:right w:val="single" w:sz="4" w:space="0" w:color="auto"/>
            </w:tcBorders>
            <w:shd w:val="clear" w:color="auto" w:fill="auto"/>
            <w:noWrap/>
            <w:vAlign w:val="center"/>
            <w:hideMark/>
          </w:tcPr>
          <w:p w14:paraId="4D3B8B69" w14:textId="77777777" w:rsidR="001B4284" w:rsidRPr="007466EF" w:rsidRDefault="001B4284" w:rsidP="001B4284">
            <w:pPr>
              <w:jc w:val="center"/>
              <w:rPr>
                <w:sz w:val="16"/>
                <w:szCs w:val="16"/>
              </w:rPr>
            </w:pPr>
            <w:r w:rsidRPr="007466EF">
              <w:rPr>
                <w:sz w:val="16"/>
                <w:szCs w:val="16"/>
              </w:rPr>
              <w:t>EUR</w:t>
            </w:r>
          </w:p>
        </w:tc>
        <w:tc>
          <w:tcPr>
            <w:tcW w:w="1560" w:type="dxa"/>
            <w:tcBorders>
              <w:top w:val="nil"/>
              <w:left w:val="nil"/>
              <w:bottom w:val="single" w:sz="4" w:space="0" w:color="auto"/>
              <w:right w:val="single" w:sz="4" w:space="0" w:color="auto"/>
            </w:tcBorders>
            <w:shd w:val="clear" w:color="auto" w:fill="auto"/>
            <w:noWrap/>
            <w:vAlign w:val="center"/>
            <w:hideMark/>
          </w:tcPr>
          <w:p w14:paraId="00601BBB" w14:textId="77777777" w:rsidR="001B4284" w:rsidRPr="007466EF" w:rsidRDefault="001B4284" w:rsidP="001B4284">
            <w:pPr>
              <w:jc w:val="right"/>
              <w:rPr>
                <w:sz w:val="16"/>
                <w:szCs w:val="16"/>
              </w:rPr>
            </w:pPr>
            <w:r w:rsidRPr="007466EF">
              <w:rPr>
                <w:sz w:val="16"/>
                <w:szCs w:val="16"/>
              </w:rPr>
              <w:t>53.089.123,37</w:t>
            </w:r>
          </w:p>
        </w:tc>
      </w:tr>
      <w:tr w:rsidR="001B4284" w:rsidRPr="007466EF" w14:paraId="77DB14C1"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69884CE4" w14:textId="77777777" w:rsidR="001B4284" w:rsidRPr="007466EF" w:rsidRDefault="001B4284" w:rsidP="001B4284">
            <w:pPr>
              <w:jc w:val="center"/>
              <w:rPr>
                <w:sz w:val="16"/>
                <w:szCs w:val="16"/>
              </w:rPr>
            </w:pPr>
            <w:r w:rsidRPr="007466EF">
              <w:rPr>
                <w:sz w:val="16"/>
                <w:szCs w:val="16"/>
              </w:rPr>
              <w:t>5.</w:t>
            </w:r>
          </w:p>
        </w:tc>
        <w:tc>
          <w:tcPr>
            <w:tcW w:w="4047" w:type="dxa"/>
            <w:tcBorders>
              <w:top w:val="nil"/>
              <w:left w:val="nil"/>
              <w:bottom w:val="single" w:sz="4" w:space="0" w:color="auto"/>
              <w:right w:val="single" w:sz="4" w:space="0" w:color="auto"/>
            </w:tcBorders>
            <w:shd w:val="clear" w:color="auto" w:fill="auto"/>
            <w:noWrap/>
            <w:vAlign w:val="center"/>
            <w:hideMark/>
          </w:tcPr>
          <w:p w14:paraId="2CFAC526" w14:textId="77777777" w:rsidR="001B4284" w:rsidRPr="007466EF" w:rsidRDefault="001B4284" w:rsidP="001B4284">
            <w:pPr>
              <w:rPr>
                <w:sz w:val="16"/>
                <w:szCs w:val="16"/>
              </w:rPr>
            </w:pPr>
            <w:r w:rsidRPr="007466EF">
              <w:rPr>
                <w:sz w:val="16"/>
                <w:szCs w:val="16"/>
              </w:rPr>
              <w:t xml:space="preserve">HŽ </w:t>
            </w:r>
            <w:proofErr w:type="spellStart"/>
            <w:r w:rsidRPr="007466EF">
              <w:rPr>
                <w:sz w:val="16"/>
                <w:szCs w:val="16"/>
              </w:rPr>
              <w:t>Cargo</w:t>
            </w:r>
            <w:proofErr w:type="spellEnd"/>
            <w:r w:rsidRPr="007466EF">
              <w:rPr>
                <w:sz w:val="16"/>
                <w:szCs w:val="16"/>
              </w:rPr>
              <w:t xml:space="preserve"> HPB preuzeto 2022, D-2026 </w:t>
            </w:r>
          </w:p>
        </w:tc>
        <w:tc>
          <w:tcPr>
            <w:tcW w:w="992" w:type="dxa"/>
            <w:tcBorders>
              <w:top w:val="nil"/>
              <w:left w:val="nil"/>
              <w:bottom w:val="single" w:sz="4" w:space="0" w:color="auto"/>
              <w:right w:val="single" w:sz="4" w:space="0" w:color="auto"/>
            </w:tcBorders>
            <w:shd w:val="clear" w:color="auto" w:fill="auto"/>
            <w:noWrap/>
            <w:vAlign w:val="center"/>
            <w:hideMark/>
          </w:tcPr>
          <w:p w14:paraId="2B69FFCC" w14:textId="77777777" w:rsidR="001B4284" w:rsidRPr="007466EF" w:rsidRDefault="001B4284" w:rsidP="001B4284">
            <w:pPr>
              <w:jc w:val="center"/>
              <w:rPr>
                <w:sz w:val="16"/>
                <w:szCs w:val="16"/>
              </w:rPr>
            </w:pPr>
            <w:r w:rsidRPr="007466EF">
              <w:rPr>
                <w:sz w:val="16"/>
                <w:szCs w:val="16"/>
              </w:rPr>
              <w:t>HPB</w:t>
            </w:r>
          </w:p>
        </w:tc>
        <w:tc>
          <w:tcPr>
            <w:tcW w:w="850" w:type="dxa"/>
            <w:tcBorders>
              <w:top w:val="single" w:sz="4" w:space="0" w:color="auto"/>
              <w:left w:val="nil"/>
              <w:bottom w:val="nil"/>
              <w:right w:val="single" w:sz="4" w:space="0" w:color="auto"/>
            </w:tcBorders>
            <w:shd w:val="clear" w:color="auto" w:fill="auto"/>
            <w:noWrap/>
            <w:vAlign w:val="center"/>
            <w:hideMark/>
          </w:tcPr>
          <w:p w14:paraId="1C870968" w14:textId="77777777" w:rsidR="001B4284" w:rsidRPr="007466EF" w:rsidRDefault="001B4284" w:rsidP="001B4284">
            <w:pPr>
              <w:jc w:val="center"/>
              <w:rPr>
                <w:sz w:val="16"/>
                <w:szCs w:val="16"/>
              </w:rPr>
            </w:pPr>
            <w:r w:rsidRPr="007466EF">
              <w:rPr>
                <w:sz w:val="16"/>
                <w:szCs w:val="16"/>
              </w:rPr>
              <w:t>EUR</w:t>
            </w:r>
          </w:p>
        </w:tc>
        <w:tc>
          <w:tcPr>
            <w:tcW w:w="1560" w:type="dxa"/>
            <w:tcBorders>
              <w:top w:val="nil"/>
              <w:left w:val="nil"/>
              <w:bottom w:val="single" w:sz="4" w:space="0" w:color="auto"/>
              <w:right w:val="single" w:sz="4" w:space="0" w:color="auto"/>
            </w:tcBorders>
            <w:shd w:val="clear" w:color="auto" w:fill="auto"/>
            <w:noWrap/>
            <w:vAlign w:val="center"/>
            <w:hideMark/>
          </w:tcPr>
          <w:p w14:paraId="03809B86" w14:textId="77777777" w:rsidR="001B4284" w:rsidRPr="007466EF" w:rsidRDefault="001B4284" w:rsidP="001B4284">
            <w:pPr>
              <w:jc w:val="right"/>
              <w:rPr>
                <w:sz w:val="16"/>
                <w:szCs w:val="16"/>
              </w:rPr>
            </w:pPr>
            <w:r w:rsidRPr="007466EF">
              <w:rPr>
                <w:sz w:val="16"/>
                <w:szCs w:val="16"/>
              </w:rPr>
              <w:t>66.361.404,21</w:t>
            </w:r>
          </w:p>
        </w:tc>
      </w:tr>
      <w:tr w:rsidR="001B4284" w:rsidRPr="007466EF" w14:paraId="520748BA"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2AB82F58" w14:textId="77777777" w:rsidR="001B4284" w:rsidRPr="007466EF" w:rsidRDefault="001B4284" w:rsidP="001B4284">
            <w:pPr>
              <w:jc w:val="center"/>
              <w:rPr>
                <w:sz w:val="16"/>
                <w:szCs w:val="16"/>
              </w:rPr>
            </w:pPr>
            <w:r w:rsidRPr="007466EF">
              <w:rPr>
                <w:sz w:val="16"/>
                <w:szCs w:val="16"/>
              </w:rPr>
              <w:t>6.</w:t>
            </w:r>
          </w:p>
        </w:tc>
        <w:tc>
          <w:tcPr>
            <w:tcW w:w="4047" w:type="dxa"/>
            <w:tcBorders>
              <w:top w:val="nil"/>
              <w:left w:val="nil"/>
              <w:bottom w:val="single" w:sz="4" w:space="0" w:color="auto"/>
              <w:right w:val="single" w:sz="4" w:space="0" w:color="auto"/>
            </w:tcBorders>
            <w:shd w:val="clear" w:color="auto" w:fill="auto"/>
            <w:noWrap/>
            <w:vAlign w:val="center"/>
            <w:hideMark/>
          </w:tcPr>
          <w:p w14:paraId="76FD06ED" w14:textId="77777777" w:rsidR="001B4284" w:rsidRPr="007466EF" w:rsidRDefault="001B4284" w:rsidP="001B4284">
            <w:pPr>
              <w:rPr>
                <w:sz w:val="16"/>
                <w:szCs w:val="16"/>
              </w:rPr>
            </w:pPr>
            <w:r w:rsidRPr="007466EF">
              <w:rPr>
                <w:sz w:val="16"/>
                <w:szCs w:val="16"/>
              </w:rPr>
              <w:t xml:space="preserve">HŽ </w:t>
            </w:r>
            <w:proofErr w:type="spellStart"/>
            <w:r w:rsidRPr="007466EF">
              <w:rPr>
                <w:sz w:val="16"/>
                <w:szCs w:val="16"/>
              </w:rPr>
              <w:t>Cargo</w:t>
            </w:r>
            <w:proofErr w:type="spellEnd"/>
            <w:r w:rsidRPr="007466EF">
              <w:rPr>
                <w:sz w:val="16"/>
                <w:szCs w:val="16"/>
              </w:rPr>
              <w:t xml:space="preserve"> </w:t>
            </w:r>
            <w:proofErr w:type="spellStart"/>
            <w:r w:rsidRPr="007466EF">
              <w:rPr>
                <w:sz w:val="16"/>
                <w:szCs w:val="16"/>
              </w:rPr>
              <w:t>Cratia</w:t>
            </w:r>
            <w:proofErr w:type="spellEnd"/>
            <w:r w:rsidRPr="007466EF">
              <w:rPr>
                <w:sz w:val="16"/>
                <w:szCs w:val="16"/>
              </w:rPr>
              <w:t xml:space="preserve"> banka preuzeto 2022, D-2026 </w:t>
            </w:r>
          </w:p>
        </w:tc>
        <w:tc>
          <w:tcPr>
            <w:tcW w:w="992" w:type="dxa"/>
            <w:tcBorders>
              <w:top w:val="nil"/>
              <w:left w:val="nil"/>
              <w:bottom w:val="single" w:sz="4" w:space="0" w:color="auto"/>
              <w:right w:val="single" w:sz="4" w:space="0" w:color="auto"/>
            </w:tcBorders>
            <w:shd w:val="clear" w:color="auto" w:fill="auto"/>
            <w:noWrap/>
            <w:vAlign w:val="center"/>
            <w:hideMark/>
          </w:tcPr>
          <w:p w14:paraId="63FFA8A2" w14:textId="77777777" w:rsidR="001B4284" w:rsidRPr="007466EF" w:rsidRDefault="001B4284" w:rsidP="001B4284">
            <w:pPr>
              <w:jc w:val="center"/>
              <w:rPr>
                <w:sz w:val="16"/>
                <w:szCs w:val="16"/>
              </w:rPr>
            </w:pPr>
            <w:r w:rsidRPr="007466EF">
              <w:rPr>
                <w:sz w:val="16"/>
                <w:szCs w:val="16"/>
              </w:rPr>
              <w:t>Croatia b.</w:t>
            </w:r>
          </w:p>
        </w:tc>
        <w:tc>
          <w:tcPr>
            <w:tcW w:w="850" w:type="dxa"/>
            <w:tcBorders>
              <w:top w:val="single" w:sz="4" w:space="0" w:color="auto"/>
              <w:left w:val="nil"/>
              <w:bottom w:val="nil"/>
              <w:right w:val="single" w:sz="4" w:space="0" w:color="auto"/>
            </w:tcBorders>
            <w:shd w:val="clear" w:color="auto" w:fill="auto"/>
            <w:noWrap/>
            <w:vAlign w:val="center"/>
            <w:hideMark/>
          </w:tcPr>
          <w:p w14:paraId="61F5367A" w14:textId="77777777" w:rsidR="001B4284" w:rsidRPr="007466EF" w:rsidRDefault="001B4284" w:rsidP="001B4284">
            <w:pPr>
              <w:jc w:val="center"/>
              <w:rPr>
                <w:sz w:val="16"/>
                <w:szCs w:val="16"/>
              </w:rPr>
            </w:pPr>
            <w:r w:rsidRPr="007466EF">
              <w:rPr>
                <w:sz w:val="16"/>
                <w:szCs w:val="16"/>
              </w:rPr>
              <w:t>EUR</w:t>
            </w:r>
          </w:p>
        </w:tc>
        <w:tc>
          <w:tcPr>
            <w:tcW w:w="1560" w:type="dxa"/>
            <w:tcBorders>
              <w:top w:val="nil"/>
              <w:left w:val="nil"/>
              <w:bottom w:val="single" w:sz="4" w:space="0" w:color="auto"/>
              <w:right w:val="single" w:sz="4" w:space="0" w:color="auto"/>
            </w:tcBorders>
            <w:shd w:val="clear" w:color="auto" w:fill="auto"/>
            <w:noWrap/>
            <w:vAlign w:val="center"/>
            <w:hideMark/>
          </w:tcPr>
          <w:p w14:paraId="1737C82E" w14:textId="77777777" w:rsidR="001B4284" w:rsidRPr="007466EF" w:rsidRDefault="001B4284" w:rsidP="001B4284">
            <w:pPr>
              <w:jc w:val="right"/>
              <w:rPr>
                <w:sz w:val="16"/>
                <w:szCs w:val="16"/>
              </w:rPr>
            </w:pPr>
            <w:r w:rsidRPr="007466EF">
              <w:rPr>
                <w:sz w:val="16"/>
                <w:szCs w:val="16"/>
              </w:rPr>
              <w:t>11.281.438,72</w:t>
            </w:r>
          </w:p>
        </w:tc>
      </w:tr>
      <w:tr w:rsidR="001B4284" w:rsidRPr="007466EF" w14:paraId="7E292EBE" w14:textId="77777777" w:rsidTr="000F0D22">
        <w:trPr>
          <w:trHeight w:val="330"/>
          <w:jc w:val="center"/>
        </w:trPr>
        <w:tc>
          <w:tcPr>
            <w:tcW w:w="91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7C7DF45D" w14:textId="77777777" w:rsidR="001B4284" w:rsidRPr="007466EF" w:rsidRDefault="001B4284" w:rsidP="001B4284">
            <w:pPr>
              <w:jc w:val="center"/>
              <w:rPr>
                <w:b/>
                <w:bCs/>
                <w:sz w:val="16"/>
                <w:szCs w:val="16"/>
              </w:rPr>
            </w:pPr>
            <w:r w:rsidRPr="007466EF">
              <w:rPr>
                <w:b/>
                <w:bCs/>
                <w:sz w:val="16"/>
                <w:szCs w:val="16"/>
              </w:rPr>
              <w:t>UKUPNO</w:t>
            </w:r>
          </w:p>
        </w:tc>
        <w:tc>
          <w:tcPr>
            <w:tcW w:w="4047" w:type="dxa"/>
            <w:tcBorders>
              <w:top w:val="double" w:sz="6" w:space="0" w:color="auto"/>
              <w:left w:val="nil"/>
              <w:bottom w:val="double" w:sz="6" w:space="0" w:color="auto"/>
              <w:right w:val="double" w:sz="6" w:space="0" w:color="auto"/>
            </w:tcBorders>
            <w:shd w:val="clear" w:color="auto" w:fill="auto"/>
            <w:noWrap/>
            <w:vAlign w:val="center"/>
            <w:hideMark/>
          </w:tcPr>
          <w:p w14:paraId="07148A1A" w14:textId="77777777" w:rsidR="001B4284" w:rsidRPr="007466EF" w:rsidRDefault="001B4284" w:rsidP="001B4284">
            <w:pPr>
              <w:rPr>
                <w:sz w:val="16"/>
                <w:szCs w:val="16"/>
              </w:rPr>
            </w:pPr>
            <w:r w:rsidRPr="007466EF">
              <w:rPr>
                <w:sz w:val="16"/>
                <w:szCs w:val="16"/>
              </w:rPr>
              <w:t> </w:t>
            </w:r>
          </w:p>
        </w:tc>
        <w:tc>
          <w:tcPr>
            <w:tcW w:w="992" w:type="dxa"/>
            <w:tcBorders>
              <w:top w:val="nil"/>
              <w:left w:val="nil"/>
              <w:bottom w:val="double" w:sz="6" w:space="0" w:color="auto"/>
              <w:right w:val="double" w:sz="6" w:space="0" w:color="auto"/>
            </w:tcBorders>
            <w:shd w:val="clear" w:color="auto" w:fill="auto"/>
            <w:noWrap/>
            <w:vAlign w:val="center"/>
            <w:hideMark/>
          </w:tcPr>
          <w:p w14:paraId="3A02B3BB" w14:textId="77777777" w:rsidR="001B4284" w:rsidRPr="007466EF" w:rsidRDefault="001B4284" w:rsidP="001B4284">
            <w:pPr>
              <w:jc w:val="center"/>
              <w:rPr>
                <w:sz w:val="16"/>
                <w:szCs w:val="16"/>
              </w:rPr>
            </w:pPr>
            <w:r w:rsidRPr="007466EF">
              <w:rPr>
                <w:sz w:val="16"/>
                <w:szCs w:val="16"/>
              </w:rPr>
              <w:t> </w:t>
            </w:r>
          </w:p>
        </w:tc>
        <w:tc>
          <w:tcPr>
            <w:tcW w:w="850" w:type="dxa"/>
            <w:tcBorders>
              <w:top w:val="double" w:sz="6" w:space="0" w:color="auto"/>
              <w:left w:val="nil"/>
              <w:bottom w:val="double" w:sz="6" w:space="0" w:color="auto"/>
              <w:right w:val="double" w:sz="6" w:space="0" w:color="auto"/>
            </w:tcBorders>
            <w:shd w:val="clear" w:color="auto" w:fill="auto"/>
            <w:noWrap/>
            <w:vAlign w:val="center"/>
            <w:hideMark/>
          </w:tcPr>
          <w:p w14:paraId="14B5CDD3" w14:textId="77777777" w:rsidR="001B4284" w:rsidRPr="007466EF" w:rsidRDefault="001B4284" w:rsidP="001B4284">
            <w:pPr>
              <w:jc w:val="center"/>
              <w:rPr>
                <w:b/>
                <w:bCs/>
                <w:sz w:val="16"/>
                <w:szCs w:val="16"/>
              </w:rPr>
            </w:pPr>
            <w:r w:rsidRPr="007466EF">
              <w:rPr>
                <w:b/>
                <w:bCs/>
                <w:sz w:val="16"/>
                <w:szCs w:val="16"/>
              </w:rPr>
              <w:t>EUR</w:t>
            </w:r>
          </w:p>
        </w:tc>
        <w:tc>
          <w:tcPr>
            <w:tcW w:w="1560" w:type="dxa"/>
            <w:tcBorders>
              <w:top w:val="double" w:sz="6" w:space="0" w:color="auto"/>
              <w:left w:val="nil"/>
              <w:bottom w:val="double" w:sz="6" w:space="0" w:color="auto"/>
              <w:right w:val="double" w:sz="6" w:space="0" w:color="auto"/>
            </w:tcBorders>
            <w:shd w:val="clear" w:color="auto" w:fill="auto"/>
            <w:noWrap/>
            <w:vAlign w:val="center"/>
            <w:hideMark/>
          </w:tcPr>
          <w:p w14:paraId="1DA5D6AB" w14:textId="77777777" w:rsidR="001B4284" w:rsidRPr="007466EF" w:rsidRDefault="001B4284" w:rsidP="001B4284">
            <w:pPr>
              <w:jc w:val="right"/>
              <w:rPr>
                <w:b/>
                <w:bCs/>
                <w:sz w:val="16"/>
                <w:szCs w:val="16"/>
              </w:rPr>
            </w:pPr>
            <w:r w:rsidRPr="007466EF">
              <w:rPr>
                <w:b/>
                <w:bCs/>
                <w:sz w:val="16"/>
                <w:szCs w:val="16"/>
              </w:rPr>
              <w:t>118.850.735,42</w:t>
            </w:r>
          </w:p>
        </w:tc>
      </w:tr>
    </w:tbl>
    <w:p w14:paraId="0CF319F3" w14:textId="77777777" w:rsidR="001B4284" w:rsidRPr="00FB0E6E" w:rsidRDefault="001B4284" w:rsidP="00FB0E6E">
      <w:pPr>
        <w:jc w:val="both"/>
      </w:pPr>
    </w:p>
    <w:p w14:paraId="65373A8B" w14:textId="77777777" w:rsidR="001B4284" w:rsidRPr="007466EF" w:rsidRDefault="001B4284" w:rsidP="001B4284">
      <w:pPr>
        <w:keepNext/>
        <w:jc w:val="center"/>
        <w:rPr>
          <w:bCs/>
          <w:sz w:val="28"/>
          <w:szCs w:val="28"/>
        </w:rPr>
      </w:pPr>
      <w:r w:rsidRPr="007466EF">
        <w:rPr>
          <w:bCs/>
          <w:sz w:val="28"/>
          <w:szCs w:val="28"/>
        </w:rPr>
        <w:t>Bilješka 24.</w:t>
      </w:r>
    </w:p>
    <w:p w14:paraId="12CDDA57" w14:textId="77777777" w:rsidR="001B4284" w:rsidRPr="007466EF" w:rsidRDefault="001B4284" w:rsidP="001B4284">
      <w:pPr>
        <w:jc w:val="center"/>
        <w:rPr>
          <w:bCs/>
          <w:sz w:val="28"/>
          <w:szCs w:val="28"/>
        </w:rPr>
      </w:pPr>
      <w:r w:rsidRPr="007466EF">
        <w:rPr>
          <w:bCs/>
          <w:sz w:val="28"/>
          <w:szCs w:val="28"/>
        </w:rPr>
        <w:t>Šifra 2643 Obveze za kredite od tuzemnih kreditnih institucija izvan javnog sektora</w:t>
      </w:r>
    </w:p>
    <w:p w14:paraId="7E3DE809" w14:textId="77777777" w:rsidR="001B4284" w:rsidRPr="007466EF" w:rsidRDefault="001B4284" w:rsidP="001B4284">
      <w:pPr>
        <w:spacing w:after="240"/>
        <w:jc w:val="both"/>
        <w:rPr>
          <w:color w:val="000000"/>
        </w:rPr>
      </w:pPr>
      <w:r w:rsidRPr="007466EF">
        <w:rPr>
          <w:color w:val="000000"/>
        </w:rPr>
        <w:t xml:space="preserve">Obveze za kredite od tuzemnih kreditnih institucija izvan javnog sektora na dan 31. prosinca 2024. iskazana su u iznosu od 1.333.873.527,11 eura i bilježe smanjenje za 43,5% u odnosu na stanje obveza na dan 1. siječnja 2024. </w:t>
      </w:r>
    </w:p>
    <w:p w14:paraId="27FB9676" w14:textId="77777777" w:rsidR="001B4284" w:rsidRPr="007466EF" w:rsidRDefault="001B4284" w:rsidP="001B4284">
      <w:pPr>
        <w:shd w:val="clear" w:color="auto" w:fill="FFFFFF"/>
        <w:jc w:val="both"/>
        <w:rPr>
          <w:color w:val="000000"/>
        </w:rPr>
      </w:pPr>
      <w:r w:rsidRPr="007466EF">
        <w:t>U 2024. nije bilo novih zaduživanja kod tuzemnih kreditnih institucija izvan javnog sektora.</w:t>
      </w:r>
      <w:r w:rsidRPr="007466EF">
        <w:rPr>
          <w:color w:val="000000"/>
        </w:rPr>
        <w:t xml:space="preserve"> </w:t>
      </w:r>
      <w:r w:rsidRPr="007466EF">
        <w:t xml:space="preserve">Smanjenje u stanju obveza iskazanih na dan 31. prosinca 2024. u odnosu na stanje 1. siječnja 2024. odnosi se na otplatu glavnice primljenih kredita od Zagrebačke banke, </w:t>
      </w:r>
      <w:proofErr w:type="spellStart"/>
      <w:r w:rsidRPr="007466EF">
        <w:t>Erste&amp;Steiermärkische</w:t>
      </w:r>
      <w:proofErr w:type="spellEnd"/>
      <w:r w:rsidRPr="007466EF">
        <w:t xml:space="preserve"> banke te RBA - </w:t>
      </w:r>
      <w:proofErr w:type="spellStart"/>
      <w:r w:rsidRPr="007466EF">
        <w:t>Raiffeisenbank</w:t>
      </w:r>
      <w:proofErr w:type="spellEnd"/>
      <w:r w:rsidRPr="007466EF">
        <w:t xml:space="preserve"> Hrvatska. U okviru ovih obveza evidentiraju se i otplate glavnica kredita Sveučilišta koji se podmiruju iz državnog proračuna.</w:t>
      </w:r>
    </w:p>
    <w:p w14:paraId="79C7E3A3" w14:textId="77777777" w:rsidR="001B4284" w:rsidRPr="007466EF" w:rsidRDefault="001B4284" w:rsidP="001B4284">
      <w:pPr>
        <w:jc w:val="both"/>
      </w:pPr>
    </w:p>
    <w:p w14:paraId="0474DBF4" w14:textId="77777777" w:rsidR="001B4284" w:rsidRPr="007466EF" w:rsidRDefault="001B4284" w:rsidP="001B4284">
      <w:pPr>
        <w:jc w:val="both"/>
        <w:rPr>
          <w:color w:val="000000"/>
        </w:rPr>
      </w:pPr>
      <w:r w:rsidRPr="007466EF">
        <w:rPr>
          <w:color w:val="000000"/>
        </w:rPr>
        <w:t>Analitički prikaz obveza za kredite od tuzemnih financijskih institucija izvan javnog sektora sa stanjem na dan 31. prosinca 2024. u iznosu od 1.330.335.622,82 eura daje se u Tablici 10.</w:t>
      </w:r>
    </w:p>
    <w:p w14:paraId="1226DD4F" w14:textId="77777777" w:rsidR="001B4284" w:rsidRPr="007466EF" w:rsidRDefault="001B4284" w:rsidP="001B4284">
      <w:pPr>
        <w:jc w:val="both"/>
        <w:rPr>
          <w:color w:val="000000"/>
        </w:rPr>
      </w:pPr>
    </w:p>
    <w:p w14:paraId="7804E5FB" w14:textId="77777777" w:rsidR="001B4284" w:rsidRPr="007466EF" w:rsidRDefault="001B4284" w:rsidP="001B4284">
      <w:pPr>
        <w:keepNext/>
        <w:jc w:val="both"/>
        <w:rPr>
          <w:b/>
          <w:sz w:val="20"/>
          <w:szCs w:val="20"/>
        </w:rPr>
      </w:pPr>
      <w:r w:rsidRPr="007466EF">
        <w:rPr>
          <w:b/>
          <w:sz w:val="20"/>
          <w:szCs w:val="20"/>
        </w:rPr>
        <w:t>Tablica 10. Pregled obveza za kredite od tuzemnih financijskih institucija izvan javnog sektora</w:t>
      </w:r>
    </w:p>
    <w:tbl>
      <w:tblPr>
        <w:tblW w:w="8217" w:type="dxa"/>
        <w:jc w:val="center"/>
        <w:tblLook w:val="04A0" w:firstRow="1" w:lastRow="0" w:firstColumn="1" w:lastColumn="0" w:noHBand="0" w:noVBand="1"/>
      </w:tblPr>
      <w:tblGrid>
        <w:gridCol w:w="910"/>
        <w:gridCol w:w="3338"/>
        <w:gridCol w:w="1185"/>
        <w:gridCol w:w="1083"/>
        <w:gridCol w:w="1701"/>
      </w:tblGrid>
      <w:tr w:rsidR="001B4284" w:rsidRPr="007466EF" w14:paraId="1986C5FC" w14:textId="77777777" w:rsidTr="000F0D22">
        <w:trPr>
          <w:trHeight w:val="420"/>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7B68E" w14:textId="77777777" w:rsidR="001B4284" w:rsidRPr="007466EF" w:rsidRDefault="001B4284" w:rsidP="001B4284">
            <w:pPr>
              <w:jc w:val="center"/>
              <w:rPr>
                <w:b/>
                <w:bCs/>
                <w:sz w:val="20"/>
                <w:szCs w:val="20"/>
              </w:rPr>
            </w:pPr>
            <w:r w:rsidRPr="007466EF">
              <w:rPr>
                <w:b/>
                <w:bCs/>
                <w:sz w:val="20"/>
                <w:szCs w:val="20"/>
              </w:rPr>
              <w:t>Red. broj</w:t>
            </w:r>
          </w:p>
        </w:tc>
        <w:tc>
          <w:tcPr>
            <w:tcW w:w="3338" w:type="dxa"/>
            <w:tcBorders>
              <w:top w:val="single" w:sz="4" w:space="0" w:color="auto"/>
              <w:left w:val="nil"/>
              <w:bottom w:val="single" w:sz="4" w:space="0" w:color="auto"/>
              <w:right w:val="single" w:sz="4" w:space="0" w:color="auto"/>
            </w:tcBorders>
            <w:shd w:val="clear" w:color="auto" w:fill="auto"/>
            <w:noWrap/>
            <w:vAlign w:val="center"/>
            <w:hideMark/>
          </w:tcPr>
          <w:p w14:paraId="302366D7" w14:textId="77777777" w:rsidR="001B4284" w:rsidRPr="007466EF" w:rsidRDefault="001B4284" w:rsidP="001B4284">
            <w:pPr>
              <w:jc w:val="center"/>
              <w:rPr>
                <w:b/>
                <w:bCs/>
                <w:sz w:val="20"/>
                <w:szCs w:val="20"/>
              </w:rPr>
            </w:pPr>
            <w:r w:rsidRPr="007466EF">
              <w:rPr>
                <w:b/>
                <w:bCs/>
                <w:sz w:val="20"/>
                <w:szCs w:val="20"/>
              </w:rPr>
              <w:t>Namjena</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592D0651" w14:textId="77777777" w:rsidR="001B4284" w:rsidRPr="007466EF" w:rsidRDefault="001B4284" w:rsidP="001B4284">
            <w:pPr>
              <w:jc w:val="center"/>
              <w:rPr>
                <w:b/>
                <w:bCs/>
                <w:sz w:val="20"/>
                <w:szCs w:val="20"/>
              </w:rPr>
            </w:pPr>
            <w:r w:rsidRPr="007466EF">
              <w:rPr>
                <w:b/>
                <w:bCs/>
                <w:sz w:val="20"/>
                <w:szCs w:val="20"/>
              </w:rPr>
              <w:t>Banka</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2F5844D1" w14:textId="77777777" w:rsidR="001B4284" w:rsidRPr="007466EF" w:rsidRDefault="001B4284" w:rsidP="001B4284">
            <w:pPr>
              <w:jc w:val="center"/>
              <w:rPr>
                <w:b/>
                <w:bCs/>
                <w:sz w:val="20"/>
                <w:szCs w:val="20"/>
              </w:rPr>
            </w:pPr>
            <w:r w:rsidRPr="007466EF">
              <w:rPr>
                <w:b/>
                <w:bCs/>
                <w:sz w:val="20"/>
                <w:szCs w:val="20"/>
              </w:rPr>
              <w:t>Valuta</w:t>
            </w:r>
          </w:p>
        </w:tc>
        <w:tc>
          <w:tcPr>
            <w:tcW w:w="1701" w:type="dxa"/>
            <w:tcBorders>
              <w:top w:val="single" w:sz="4" w:space="0" w:color="auto"/>
              <w:left w:val="nil"/>
              <w:bottom w:val="nil"/>
              <w:right w:val="single" w:sz="4" w:space="0" w:color="auto"/>
            </w:tcBorders>
            <w:shd w:val="clear" w:color="auto" w:fill="auto"/>
            <w:vAlign w:val="center"/>
            <w:hideMark/>
          </w:tcPr>
          <w:p w14:paraId="6854D546" w14:textId="77777777" w:rsidR="001B4284" w:rsidRPr="007466EF" w:rsidRDefault="001B4284" w:rsidP="001B4284">
            <w:pPr>
              <w:jc w:val="center"/>
              <w:rPr>
                <w:b/>
                <w:bCs/>
                <w:sz w:val="20"/>
                <w:szCs w:val="20"/>
              </w:rPr>
            </w:pPr>
            <w:r w:rsidRPr="007466EF">
              <w:rPr>
                <w:b/>
                <w:bCs/>
                <w:sz w:val="20"/>
                <w:szCs w:val="20"/>
              </w:rPr>
              <w:t>Stanje obveza na 31.12.2024.</w:t>
            </w:r>
          </w:p>
        </w:tc>
      </w:tr>
      <w:tr w:rsidR="001B4284" w:rsidRPr="007466EF" w14:paraId="41A7DD24"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62660912" w14:textId="77777777" w:rsidR="001B4284" w:rsidRPr="007466EF" w:rsidRDefault="001B4284" w:rsidP="001B4284">
            <w:pPr>
              <w:jc w:val="center"/>
              <w:rPr>
                <w:sz w:val="16"/>
                <w:szCs w:val="16"/>
              </w:rPr>
            </w:pPr>
            <w:r w:rsidRPr="007466EF">
              <w:rPr>
                <w:sz w:val="16"/>
                <w:szCs w:val="16"/>
              </w:rPr>
              <w:t>1.</w:t>
            </w:r>
          </w:p>
        </w:tc>
        <w:tc>
          <w:tcPr>
            <w:tcW w:w="3338" w:type="dxa"/>
            <w:tcBorders>
              <w:top w:val="nil"/>
              <w:left w:val="nil"/>
              <w:bottom w:val="single" w:sz="4" w:space="0" w:color="auto"/>
              <w:right w:val="single" w:sz="4" w:space="0" w:color="auto"/>
            </w:tcBorders>
            <w:shd w:val="clear" w:color="auto" w:fill="auto"/>
            <w:noWrap/>
            <w:vAlign w:val="center"/>
            <w:hideMark/>
          </w:tcPr>
          <w:p w14:paraId="7F76DE0A" w14:textId="77777777" w:rsidR="001B4284" w:rsidRPr="007466EF" w:rsidRDefault="001B4284" w:rsidP="001B4284">
            <w:pPr>
              <w:rPr>
                <w:sz w:val="16"/>
                <w:szCs w:val="16"/>
              </w:rPr>
            </w:pPr>
            <w:r w:rsidRPr="007466EF">
              <w:rPr>
                <w:sz w:val="16"/>
                <w:szCs w:val="16"/>
              </w:rPr>
              <w:t xml:space="preserve">ERSTE HRK 1,8 </w:t>
            </w:r>
            <w:proofErr w:type="spellStart"/>
            <w:r w:rsidRPr="007466EF">
              <w:rPr>
                <w:sz w:val="16"/>
                <w:szCs w:val="16"/>
              </w:rPr>
              <w:t>mlrd</w:t>
            </w:r>
            <w:proofErr w:type="spellEnd"/>
            <w:r w:rsidRPr="007466EF">
              <w:rPr>
                <w:sz w:val="16"/>
                <w:szCs w:val="16"/>
              </w:rPr>
              <w:t xml:space="preserve">. D 2025 </w:t>
            </w:r>
          </w:p>
        </w:tc>
        <w:tc>
          <w:tcPr>
            <w:tcW w:w="1185" w:type="dxa"/>
            <w:tcBorders>
              <w:top w:val="nil"/>
              <w:left w:val="nil"/>
              <w:bottom w:val="single" w:sz="4" w:space="0" w:color="auto"/>
              <w:right w:val="single" w:sz="4" w:space="0" w:color="auto"/>
            </w:tcBorders>
            <w:shd w:val="clear" w:color="auto" w:fill="auto"/>
            <w:noWrap/>
            <w:vAlign w:val="center"/>
            <w:hideMark/>
          </w:tcPr>
          <w:p w14:paraId="0E31120F" w14:textId="77777777" w:rsidR="001B4284" w:rsidRPr="007466EF" w:rsidRDefault="001B4284" w:rsidP="001B4284">
            <w:pPr>
              <w:jc w:val="center"/>
              <w:rPr>
                <w:sz w:val="16"/>
                <w:szCs w:val="16"/>
              </w:rPr>
            </w:pPr>
            <w:r w:rsidRPr="007466EF">
              <w:rPr>
                <w:sz w:val="16"/>
                <w:szCs w:val="16"/>
              </w:rPr>
              <w:t xml:space="preserve">Erste </w:t>
            </w:r>
            <w:proofErr w:type="spellStart"/>
            <w:r w:rsidRPr="007466EF">
              <w:rPr>
                <w:sz w:val="16"/>
                <w:szCs w:val="16"/>
              </w:rPr>
              <w:t>bank</w:t>
            </w:r>
            <w:proofErr w:type="spellEnd"/>
            <w:r w:rsidRPr="007466EF">
              <w:rPr>
                <w:sz w:val="16"/>
                <w:szCs w:val="16"/>
              </w:rPr>
              <w:t xml:space="preserve"> </w:t>
            </w:r>
          </w:p>
        </w:tc>
        <w:tc>
          <w:tcPr>
            <w:tcW w:w="1083" w:type="dxa"/>
            <w:tcBorders>
              <w:top w:val="nil"/>
              <w:left w:val="nil"/>
              <w:bottom w:val="nil"/>
              <w:right w:val="single" w:sz="4" w:space="0" w:color="auto"/>
            </w:tcBorders>
            <w:shd w:val="clear" w:color="auto" w:fill="auto"/>
            <w:noWrap/>
            <w:vAlign w:val="center"/>
            <w:hideMark/>
          </w:tcPr>
          <w:p w14:paraId="0B8E76A2" w14:textId="77777777" w:rsidR="001B4284" w:rsidRPr="007466EF" w:rsidRDefault="001B4284" w:rsidP="001B4284">
            <w:pPr>
              <w:jc w:val="center"/>
              <w:rPr>
                <w:sz w:val="16"/>
                <w:szCs w:val="16"/>
              </w:rPr>
            </w:pPr>
            <w:r w:rsidRPr="007466EF">
              <w:rPr>
                <w:sz w:val="16"/>
                <w:szCs w:val="16"/>
              </w:rPr>
              <w:t>EUR</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369ECA1" w14:textId="77777777" w:rsidR="001B4284" w:rsidRPr="007466EF" w:rsidRDefault="001B4284" w:rsidP="001B4284">
            <w:pPr>
              <w:jc w:val="right"/>
              <w:rPr>
                <w:sz w:val="16"/>
                <w:szCs w:val="16"/>
              </w:rPr>
            </w:pPr>
            <w:r w:rsidRPr="007466EF">
              <w:rPr>
                <w:sz w:val="16"/>
                <w:szCs w:val="16"/>
              </w:rPr>
              <w:t>238.901.055,14</w:t>
            </w:r>
          </w:p>
        </w:tc>
      </w:tr>
      <w:tr w:rsidR="001B4284" w:rsidRPr="007466EF" w14:paraId="5AD4819B"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5FDB8345" w14:textId="77777777" w:rsidR="001B4284" w:rsidRPr="007466EF" w:rsidRDefault="001B4284" w:rsidP="001B4284">
            <w:pPr>
              <w:jc w:val="center"/>
              <w:rPr>
                <w:sz w:val="16"/>
                <w:szCs w:val="16"/>
              </w:rPr>
            </w:pPr>
            <w:r w:rsidRPr="007466EF">
              <w:rPr>
                <w:sz w:val="16"/>
                <w:szCs w:val="16"/>
              </w:rPr>
              <w:t>2.</w:t>
            </w:r>
          </w:p>
        </w:tc>
        <w:tc>
          <w:tcPr>
            <w:tcW w:w="3338" w:type="dxa"/>
            <w:tcBorders>
              <w:top w:val="nil"/>
              <w:left w:val="nil"/>
              <w:bottom w:val="nil"/>
              <w:right w:val="single" w:sz="4" w:space="0" w:color="auto"/>
            </w:tcBorders>
            <w:shd w:val="clear" w:color="auto" w:fill="auto"/>
            <w:noWrap/>
            <w:vAlign w:val="center"/>
            <w:hideMark/>
          </w:tcPr>
          <w:p w14:paraId="0347DC11" w14:textId="77777777" w:rsidR="001B4284" w:rsidRPr="007466EF" w:rsidRDefault="001B4284" w:rsidP="001B4284">
            <w:pPr>
              <w:rPr>
                <w:sz w:val="16"/>
                <w:szCs w:val="16"/>
              </w:rPr>
            </w:pPr>
            <w:r w:rsidRPr="007466EF">
              <w:rPr>
                <w:sz w:val="16"/>
                <w:szCs w:val="16"/>
              </w:rPr>
              <w:t xml:space="preserve">OTP HRK 800 </w:t>
            </w:r>
            <w:proofErr w:type="spellStart"/>
            <w:r w:rsidRPr="007466EF">
              <w:rPr>
                <w:sz w:val="16"/>
                <w:szCs w:val="16"/>
              </w:rPr>
              <w:t>mil</w:t>
            </w:r>
            <w:proofErr w:type="spellEnd"/>
            <w:r w:rsidRPr="007466EF">
              <w:rPr>
                <w:sz w:val="16"/>
                <w:szCs w:val="16"/>
              </w:rPr>
              <w:t xml:space="preserve">. D-2025 </w:t>
            </w:r>
          </w:p>
        </w:tc>
        <w:tc>
          <w:tcPr>
            <w:tcW w:w="1185" w:type="dxa"/>
            <w:tcBorders>
              <w:top w:val="nil"/>
              <w:left w:val="nil"/>
              <w:bottom w:val="nil"/>
              <w:right w:val="single" w:sz="4" w:space="0" w:color="auto"/>
            </w:tcBorders>
            <w:shd w:val="clear" w:color="auto" w:fill="auto"/>
            <w:noWrap/>
            <w:vAlign w:val="center"/>
            <w:hideMark/>
          </w:tcPr>
          <w:p w14:paraId="76D21E29" w14:textId="77777777" w:rsidR="001B4284" w:rsidRPr="007466EF" w:rsidRDefault="001B4284" w:rsidP="001B4284">
            <w:pPr>
              <w:jc w:val="center"/>
              <w:rPr>
                <w:sz w:val="16"/>
                <w:szCs w:val="16"/>
              </w:rPr>
            </w:pPr>
            <w:r w:rsidRPr="007466EF">
              <w:rPr>
                <w:sz w:val="16"/>
                <w:szCs w:val="16"/>
              </w:rPr>
              <w:t>OTP banka</w:t>
            </w:r>
          </w:p>
        </w:tc>
        <w:tc>
          <w:tcPr>
            <w:tcW w:w="1083" w:type="dxa"/>
            <w:tcBorders>
              <w:top w:val="single" w:sz="4" w:space="0" w:color="auto"/>
              <w:left w:val="nil"/>
              <w:bottom w:val="nil"/>
              <w:right w:val="single" w:sz="4" w:space="0" w:color="auto"/>
            </w:tcBorders>
            <w:shd w:val="clear" w:color="auto" w:fill="auto"/>
            <w:noWrap/>
            <w:vAlign w:val="center"/>
            <w:hideMark/>
          </w:tcPr>
          <w:p w14:paraId="75DC0E9E" w14:textId="77777777" w:rsidR="001B4284" w:rsidRPr="007466EF" w:rsidRDefault="001B4284" w:rsidP="001B4284">
            <w:pPr>
              <w:jc w:val="center"/>
              <w:rPr>
                <w:sz w:val="16"/>
                <w:szCs w:val="16"/>
              </w:rPr>
            </w:pPr>
            <w:r w:rsidRPr="007466EF">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1629C0C2" w14:textId="77777777" w:rsidR="001B4284" w:rsidRPr="007466EF" w:rsidRDefault="001B4284" w:rsidP="001B4284">
            <w:pPr>
              <w:jc w:val="right"/>
              <w:rPr>
                <w:sz w:val="16"/>
                <w:szCs w:val="16"/>
              </w:rPr>
            </w:pPr>
            <w:r w:rsidRPr="007466EF">
              <w:rPr>
                <w:sz w:val="16"/>
                <w:szCs w:val="16"/>
              </w:rPr>
              <w:t>106.178.246,73</w:t>
            </w:r>
          </w:p>
        </w:tc>
      </w:tr>
      <w:tr w:rsidR="001B4284" w:rsidRPr="007466EF" w14:paraId="5C7AD41D"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257CFAD1" w14:textId="77777777" w:rsidR="001B4284" w:rsidRPr="007466EF" w:rsidRDefault="001B4284" w:rsidP="001B4284">
            <w:pPr>
              <w:jc w:val="center"/>
              <w:rPr>
                <w:sz w:val="16"/>
                <w:szCs w:val="16"/>
              </w:rPr>
            </w:pPr>
            <w:r w:rsidRPr="007466EF">
              <w:rPr>
                <w:sz w:val="16"/>
                <w:szCs w:val="16"/>
              </w:rPr>
              <w:t>3.</w:t>
            </w:r>
          </w:p>
        </w:tc>
        <w:tc>
          <w:tcPr>
            <w:tcW w:w="3338" w:type="dxa"/>
            <w:tcBorders>
              <w:top w:val="single" w:sz="4" w:space="0" w:color="auto"/>
              <w:left w:val="nil"/>
              <w:bottom w:val="single" w:sz="4" w:space="0" w:color="auto"/>
              <w:right w:val="single" w:sz="4" w:space="0" w:color="auto"/>
            </w:tcBorders>
            <w:shd w:val="clear" w:color="auto" w:fill="auto"/>
            <w:noWrap/>
            <w:vAlign w:val="center"/>
            <w:hideMark/>
          </w:tcPr>
          <w:p w14:paraId="46AEDFCB" w14:textId="77777777" w:rsidR="001B4284" w:rsidRPr="007466EF" w:rsidRDefault="001B4284" w:rsidP="001B4284">
            <w:pPr>
              <w:rPr>
                <w:sz w:val="16"/>
                <w:szCs w:val="16"/>
              </w:rPr>
            </w:pPr>
            <w:r w:rsidRPr="007466EF">
              <w:rPr>
                <w:sz w:val="16"/>
                <w:szCs w:val="16"/>
              </w:rPr>
              <w:t xml:space="preserve">ZABA HRK 750 </w:t>
            </w:r>
            <w:proofErr w:type="spellStart"/>
            <w:r w:rsidRPr="007466EF">
              <w:rPr>
                <w:sz w:val="16"/>
                <w:szCs w:val="16"/>
              </w:rPr>
              <w:t>mil</w:t>
            </w:r>
            <w:proofErr w:type="spellEnd"/>
            <w:r w:rsidRPr="007466EF">
              <w:rPr>
                <w:sz w:val="16"/>
                <w:szCs w:val="16"/>
              </w:rPr>
              <w:t xml:space="preserve">. D-2025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3DCC4D9B" w14:textId="77777777" w:rsidR="001B4284" w:rsidRPr="007466EF" w:rsidRDefault="001B4284" w:rsidP="001B4284">
            <w:pPr>
              <w:jc w:val="center"/>
              <w:rPr>
                <w:sz w:val="16"/>
                <w:szCs w:val="16"/>
              </w:rPr>
            </w:pPr>
            <w:r w:rsidRPr="007466EF">
              <w:rPr>
                <w:sz w:val="16"/>
                <w:szCs w:val="16"/>
              </w:rPr>
              <w:t>ZABA</w:t>
            </w:r>
          </w:p>
        </w:tc>
        <w:tc>
          <w:tcPr>
            <w:tcW w:w="1083" w:type="dxa"/>
            <w:tcBorders>
              <w:top w:val="single" w:sz="4" w:space="0" w:color="auto"/>
              <w:left w:val="nil"/>
              <w:bottom w:val="nil"/>
              <w:right w:val="single" w:sz="4" w:space="0" w:color="auto"/>
            </w:tcBorders>
            <w:shd w:val="clear" w:color="auto" w:fill="auto"/>
            <w:noWrap/>
            <w:vAlign w:val="center"/>
            <w:hideMark/>
          </w:tcPr>
          <w:p w14:paraId="61CA0B7F" w14:textId="77777777" w:rsidR="001B4284" w:rsidRPr="007466EF" w:rsidRDefault="001B4284" w:rsidP="001B4284">
            <w:pPr>
              <w:jc w:val="center"/>
              <w:rPr>
                <w:sz w:val="16"/>
                <w:szCs w:val="16"/>
              </w:rPr>
            </w:pPr>
            <w:r w:rsidRPr="007466EF">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1F27FF53" w14:textId="77777777" w:rsidR="001B4284" w:rsidRPr="007466EF" w:rsidRDefault="001B4284" w:rsidP="001B4284">
            <w:pPr>
              <w:jc w:val="right"/>
              <w:rPr>
                <w:sz w:val="16"/>
                <w:szCs w:val="16"/>
              </w:rPr>
            </w:pPr>
            <w:r w:rsidRPr="007466EF">
              <w:rPr>
                <w:sz w:val="16"/>
                <w:szCs w:val="16"/>
              </w:rPr>
              <w:t>9.954.210,64</w:t>
            </w:r>
          </w:p>
        </w:tc>
      </w:tr>
      <w:tr w:rsidR="001B4284" w:rsidRPr="007466EF" w14:paraId="6F0213DD"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6F2848E1" w14:textId="77777777" w:rsidR="001B4284" w:rsidRPr="007466EF" w:rsidRDefault="001B4284" w:rsidP="001B4284">
            <w:pPr>
              <w:jc w:val="center"/>
              <w:rPr>
                <w:sz w:val="16"/>
                <w:szCs w:val="16"/>
              </w:rPr>
            </w:pPr>
            <w:r w:rsidRPr="007466EF">
              <w:rPr>
                <w:sz w:val="16"/>
                <w:szCs w:val="16"/>
              </w:rPr>
              <w:t>4.</w:t>
            </w:r>
          </w:p>
        </w:tc>
        <w:tc>
          <w:tcPr>
            <w:tcW w:w="3338" w:type="dxa"/>
            <w:tcBorders>
              <w:top w:val="nil"/>
              <w:left w:val="nil"/>
              <w:bottom w:val="single" w:sz="4" w:space="0" w:color="auto"/>
              <w:right w:val="single" w:sz="4" w:space="0" w:color="auto"/>
            </w:tcBorders>
            <w:shd w:val="clear" w:color="auto" w:fill="auto"/>
            <w:noWrap/>
            <w:vAlign w:val="center"/>
            <w:hideMark/>
          </w:tcPr>
          <w:p w14:paraId="7780D29A" w14:textId="77777777" w:rsidR="001B4284" w:rsidRPr="007466EF" w:rsidRDefault="001B4284" w:rsidP="001B4284">
            <w:pPr>
              <w:rPr>
                <w:sz w:val="16"/>
                <w:szCs w:val="16"/>
              </w:rPr>
            </w:pPr>
            <w:r w:rsidRPr="007466EF">
              <w:rPr>
                <w:sz w:val="16"/>
                <w:szCs w:val="16"/>
              </w:rPr>
              <w:t xml:space="preserve">ZABA kredit 2 </w:t>
            </w:r>
            <w:proofErr w:type="spellStart"/>
            <w:r w:rsidRPr="007466EF">
              <w:rPr>
                <w:sz w:val="16"/>
                <w:szCs w:val="16"/>
              </w:rPr>
              <w:t>mlrd</w:t>
            </w:r>
            <w:proofErr w:type="spellEnd"/>
            <w:r w:rsidRPr="007466EF">
              <w:rPr>
                <w:sz w:val="16"/>
                <w:szCs w:val="16"/>
              </w:rPr>
              <w:t xml:space="preserve"> I HRK 2026 </w:t>
            </w:r>
          </w:p>
        </w:tc>
        <w:tc>
          <w:tcPr>
            <w:tcW w:w="1185" w:type="dxa"/>
            <w:tcBorders>
              <w:top w:val="nil"/>
              <w:left w:val="nil"/>
              <w:bottom w:val="single" w:sz="4" w:space="0" w:color="auto"/>
              <w:right w:val="single" w:sz="4" w:space="0" w:color="auto"/>
            </w:tcBorders>
            <w:shd w:val="clear" w:color="auto" w:fill="auto"/>
            <w:noWrap/>
            <w:vAlign w:val="center"/>
            <w:hideMark/>
          </w:tcPr>
          <w:p w14:paraId="241C4952" w14:textId="77777777" w:rsidR="001B4284" w:rsidRPr="007466EF" w:rsidRDefault="001B4284" w:rsidP="001B4284">
            <w:pPr>
              <w:jc w:val="center"/>
              <w:rPr>
                <w:sz w:val="16"/>
                <w:szCs w:val="16"/>
              </w:rPr>
            </w:pPr>
            <w:r w:rsidRPr="007466EF">
              <w:rPr>
                <w:sz w:val="16"/>
                <w:szCs w:val="16"/>
              </w:rPr>
              <w:t>ZABA</w:t>
            </w:r>
          </w:p>
        </w:tc>
        <w:tc>
          <w:tcPr>
            <w:tcW w:w="1083" w:type="dxa"/>
            <w:tcBorders>
              <w:top w:val="single" w:sz="4" w:space="0" w:color="auto"/>
              <w:left w:val="nil"/>
              <w:bottom w:val="nil"/>
              <w:right w:val="single" w:sz="4" w:space="0" w:color="auto"/>
            </w:tcBorders>
            <w:shd w:val="clear" w:color="auto" w:fill="auto"/>
            <w:noWrap/>
            <w:vAlign w:val="center"/>
            <w:hideMark/>
          </w:tcPr>
          <w:p w14:paraId="6C358D80" w14:textId="77777777" w:rsidR="001B4284" w:rsidRPr="007466EF" w:rsidRDefault="001B4284" w:rsidP="001B4284">
            <w:pPr>
              <w:jc w:val="center"/>
              <w:rPr>
                <w:sz w:val="16"/>
                <w:szCs w:val="16"/>
              </w:rPr>
            </w:pPr>
            <w:r w:rsidRPr="007466EF">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5D8268F9" w14:textId="77777777" w:rsidR="001B4284" w:rsidRPr="007466EF" w:rsidRDefault="001B4284" w:rsidP="001B4284">
            <w:pPr>
              <w:jc w:val="right"/>
              <w:rPr>
                <w:sz w:val="16"/>
                <w:szCs w:val="16"/>
              </w:rPr>
            </w:pPr>
            <w:r w:rsidRPr="007466EF">
              <w:rPr>
                <w:sz w:val="16"/>
                <w:szCs w:val="16"/>
              </w:rPr>
              <w:t>79.633.685,07</w:t>
            </w:r>
          </w:p>
        </w:tc>
      </w:tr>
      <w:tr w:rsidR="001B4284" w:rsidRPr="007466EF" w14:paraId="7AEF6599"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3DC0E558" w14:textId="77777777" w:rsidR="001B4284" w:rsidRPr="007466EF" w:rsidRDefault="001B4284" w:rsidP="001B4284">
            <w:pPr>
              <w:jc w:val="center"/>
              <w:rPr>
                <w:sz w:val="16"/>
                <w:szCs w:val="16"/>
              </w:rPr>
            </w:pPr>
            <w:r w:rsidRPr="007466EF">
              <w:rPr>
                <w:sz w:val="16"/>
                <w:szCs w:val="16"/>
              </w:rPr>
              <w:t>5.</w:t>
            </w:r>
          </w:p>
        </w:tc>
        <w:tc>
          <w:tcPr>
            <w:tcW w:w="3338" w:type="dxa"/>
            <w:tcBorders>
              <w:top w:val="nil"/>
              <w:left w:val="nil"/>
              <w:bottom w:val="single" w:sz="4" w:space="0" w:color="auto"/>
              <w:right w:val="single" w:sz="4" w:space="0" w:color="auto"/>
            </w:tcBorders>
            <w:shd w:val="clear" w:color="auto" w:fill="auto"/>
            <w:noWrap/>
            <w:vAlign w:val="center"/>
            <w:hideMark/>
          </w:tcPr>
          <w:p w14:paraId="2C2B35B7" w14:textId="77777777" w:rsidR="001B4284" w:rsidRPr="007466EF" w:rsidRDefault="001B4284" w:rsidP="001B4284">
            <w:pPr>
              <w:rPr>
                <w:sz w:val="16"/>
                <w:szCs w:val="16"/>
              </w:rPr>
            </w:pPr>
            <w:r w:rsidRPr="007466EF">
              <w:rPr>
                <w:sz w:val="16"/>
                <w:szCs w:val="16"/>
              </w:rPr>
              <w:t xml:space="preserve">ZABA kredit 3 </w:t>
            </w:r>
            <w:proofErr w:type="spellStart"/>
            <w:r w:rsidRPr="007466EF">
              <w:rPr>
                <w:sz w:val="16"/>
                <w:szCs w:val="16"/>
              </w:rPr>
              <w:t>mlrd</w:t>
            </w:r>
            <w:proofErr w:type="spellEnd"/>
            <w:r w:rsidRPr="007466EF">
              <w:rPr>
                <w:sz w:val="16"/>
                <w:szCs w:val="16"/>
              </w:rPr>
              <w:t xml:space="preserve"> I HRK 2026 </w:t>
            </w:r>
          </w:p>
        </w:tc>
        <w:tc>
          <w:tcPr>
            <w:tcW w:w="1185" w:type="dxa"/>
            <w:tcBorders>
              <w:top w:val="nil"/>
              <w:left w:val="nil"/>
              <w:bottom w:val="single" w:sz="4" w:space="0" w:color="auto"/>
              <w:right w:val="single" w:sz="4" w:space="0" w:color="auto"/>
            </w:tcBorders>
            <w:shd w:val="clear" w:color="auto" w:fill="auto"/>
            <w:noWrap/>
            <w:vAlign w:val="center"/>
            <w:hideMark/>
          </w:tcPr>
          <w:p w14:paraId="10B871AB" w14:textId="77777777" w:rsidR="001B4284" w:rsidRPr="007466EF" w:rsidRDefault="001B4284" w:rsidP="001B4284">
            <w:pPr>
              <w:jc w:val="center"/>
              <w:rPr>
                <w:sz w:val="16"/>
                <w:szCs w:val="16"/>
              </w:rPr>
            </w:pPr>
            <w:r w:rsidRPr="007466EF">
              <w:rPr>
                <w:sz w:val="16"/>
                <w:szCs w:val="16"/>
              </w:rPr>
              <w:t>ZABA</w:t>
            </w:r>
          </w:p>
        </w:tc>
        <w:tc>
          <w:tcPr>
            <w:tcW w:w="1083" w:type="dxa"/>
            <w:tcBorders>
              <w:top w:val="single" w:sz="4" w:space="0" w:color="auto"/>
              <w:left w:val="nil"/>
              <w:bottom w:val="nil"/>
              <w:right w:val="single" w:sz="4" w:space="0" w:color="auto"/>
            </w:tcBorders>
            <w:shd w:val="clear" w:color="auto" w:fill="auto"/>
            <w:noWrap/>
            <w:vAlign w:val="center"/>
            <w:hideMark/>
          </w:tcPr>
          <w:p w14:paraId="0EED6BD7" w14:textId="77777777" w:rsidR="001B4284" w:rsidRPr="007466EF" w:rsidRDefault="001B4284" w:rsidP="001B4284">
            <w:pPr>
              <w:jc w:val="center"/>
              <w:rPr>
                <w:sz w:val="16"/>
                <w:szCs w:val="16"/>
              </w:rPr>
            </w:pPr>
            <w:r w:rsidRPr="007466EF">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454ECBDB" w14:textId="77777777" w:rsidR="001B4284" w:rsidRPr="007466EF" w:rsidRDefault="001B4284" w:rsidP="001B4284">
            <w:pPr>
              <w:jc w:val="right"/>
              <w:rPr>
                <w:sz w:val="16"/>
                <w:szCs w:val="16"/>
              </w:rPr>
            </w:pPr>
            <w:r w:rsidRPr="007466EF">
              <w:rPr>
                <w:sz w:val="16"/>
                <w:szCs w:val="16"/>
              </w:rPr>
              <w:t>398.168.425,24</w:t>
            </w:r>
          </w:p>
        </w:tc>
      </w:tr>
      <w:tr w:rsidR="001B4284" w:rsidRPr="007466EF" w14:paraId="6746A4B6"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4D19A501" w14:textId="77777777" w:rsidR="001B4284" w:rsidRPr="007466EF" w:rsidRDefault="001B4284" w:rsidP="001B4284">
            <w:pPr>
              <w:jc w:val="center"/>
              <w:rPr>
                <w:sz w:val="16"/>
                <w:szCs w:val="16"/>
              </w:rPr>
            </w:pPr>
            <w:r w:rsidRPr="007466EF">
              <w:rPr>
                <w:sz w:val="16"/>
                <w:szCs w:val="16"/>
              </w:rPr>
              <w:t>6.</w:t>
            </w:r>
          </w:p>
        </w:tc>
        <w:tc>
          <w:tcPr>
            <w:tcW w:w="3338" w:type="dxa"/>
            <w:tcBorders>
              <w:top w:val="nil"/>
              <w:left w:val="nil"/>
              <w:bottom w:val="single" w:sz="4" w:space="0" w:color="auto"/>
              <w:right w:val="single" w:sz="4" w:space="0" w:color="auto"/>
            </w:tcBorders>
            <w:shd w:val="clear" w:color="auto" w:fill="auto"/>
            <w:noWrap/>
            <w:vAlign w:val="center"/>
            <w:hideMark/>
          </w:tcPr>
          <w:p w14:paraId="6BDBEC1B" w14:textId="77777777" w:rsidR="001B4284" w:rsidRPr="007466EF" w:rsidRDefault="001B4284" w:rsidP="001B4284">
            <w:pPr>
              <w:rPr>
                <w:sz w:val="16"/>
                <w:szCs w:val="16"/>
              </w:rPr>
            </w:pPr>
            <w:r w:rsidRPr="007466EF">
              <w:rPr>
                <w:sz w:val="16"/>
                <w:szCs w:val="16"/>
              </w:rPr>
              <w:t xml:space="preserve">PBZ EUR 200 </w:t>
            </w:r>
            <w:proofErr w:type="spellStart"/>
            <w:r w:rsidRPr="007466EF">
              <w:rPr>
                <w:sz w:val="16"/>
                <w:szCs w:val="16"/>
              </w:rPr>
              <w:t>mil</w:t>
            </w:r>
            <w:proofErr w:type="spellEnd"/>
            <w:r w:rsidRPr="007466EF">
              <w:rPr>
                <w:sz w:val="16"/>
                <w:szCs w:val="16"/>
              </w:rPr>
              <w:t>., D-2026</w:t>
            </w:r>
          </w:p>
        </w:tc>
        <w:tc>
          <w:tcPr>
            <w:tcW w:w="1185" w:type="dxa"/>
            <w:tcBorders>
              <w:top w:val="nil"/>
              <w:left w:val="nil"/>
              <w:bottom w:val="single" w:sz="4" w:space="0" w:color="auto"/>
              <w:right w:val="single" w:sz="4" w:space="0" w:color="auto"/>
            </w:tcBorders>
            <w:shd w:val="clear" w:color="auto" w:fill="auto"/>
            <w:noWrap/>
            <w:vAlign w:val="center"/>
            <w:hideMark/>
          </w:tcPr>
          <w:p w14:paraId="6EFDB25B" w14:textId="77777777" w:rsidR="001B4284" w:rsidRPr="007466EF" w:rsidRDefault="001B4284" w:rsidP="001B4284">
            <w:pPr>
              <w:jc w:val="center"/>
              <w:rPr>
                <w:sz w:val="16"/>
                <w:szCs w:val="16"/>
              </w:rPr>
            </w:pPr>
            <w:r w:rsidRPr="007466EF">
              <w:rPr>
                <w:sz w:val="16"/>
                <w:szCs w:val="16"/>
              </w:rPr>
              <w:t>PBZ</w:t>
            </w:r>
          </w:p>
        </w:tc>
        <w:tc>
          <w:tcPr>
            <w:tcW w:w="1083" w:type="dxa"/>
            <w:tcBorders>
              <w:top w:val="single" w:sz="4" w:space="0" w:color="auto"/>
              <w:left w:val="nil"/>
              <w:bottom w:val="nil"/>
              <w:right w:val="single" w:sz="4" w:space="0" w:color="auto"/>
            </w:tcBorders>
            <w:shd w:val="clear" w:color="auto" w:fill="auto"/>
            <w:noWrap/>
            <w:vAlign w:val="center"/>
            <w:hideMark/>
          </w:tcPr>
          <w:p w14:paraId="15B0324A" w14:textId="77777777" w:rsidR="001B4284" w:rsidRPr="007466EF" w:rsidRDefault="001B4284" w:rsidP="001B4284">
            <w:pPr>
              <w:jc w:val="center"/>
              <w:rPr>
                <w:sz w:val="16"/>
                <w:szCs w:val="16"/>
              </w:rPr>
            </w:pPr>
            <w:r w:rsidRPr="007466EF">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238603A5" w14:textId="77777777" w:rsidR="001B4284" w:rsidRPr="007466EF" w:rsidRDefault="001B4284" w:rsidP="001B4284">
            <w:pPr>
              <w:jc w:val="right"/>
              <w:rPr>
                <w:sz w:val="16"/>
                <w:szCs w:val="16"/>
              </w:rPr>
            </w:pPr>
            <w:r w:rsidRPr="007466EF">
              <w:rPr>
                <w:sz w:val="16"/>
                <w:szCs w:val="16"/>
              </w:rPr>
              <w:t>75.000.000,00</w:t>
            </w:r>
          </w:p>
        </w:tc>
      </w:tr>
      <w:tr w:rsidR="001B4284" w:rsidRPr="007466EF" w14:paraId="54D36944"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1C29B6CE" w14:textId="77777777" w:rsidR="001B4284" w:rsidRPr="007466EF" w:rsidRDefault="001B4284" w:rsidP="001B4284">
            <w:pPr>
              <w:jc w:val="center"/>
              <w:rPr>
                <w:sz w:val="16"/>
                <w:szCs w:val="16"/>
              </w:rPr>
            </w:pPr>
            <w:r w:rsidRPr="007466EF">
              <w:rPr>
                <w:sz w:val="16"/>
                <w:szCs w:val="16"/>
              </w:rPr>
              <w:t>7.</w:t>
            </w:r>
          </w:p>
        </w:tc>
        <w:tc>
          <w:tcPr>
            <w:tcW w:w="3338" w:type="dxa"/>
            <w:tcBorders>
              <w:top w:val="nil"/>
              <w:left w:val="nil"/>
              <w:bottom w:val="single" w:sz="4" w:space="0" w:color="auto"/>
              <w:right w:val="single" w:sz="4" w:space="0" w:color="auto"/>
            </w:tcBorders>
            <w:shd w:val="clear" w:color="auto" w:fill="auto"/>
            <w:noWrap/>
            <w:vAlign w:val="center"/>
            <w:hideMark/>
          </w:tcPr>
          <w:p w14:paraId="0756CAC4" w14:textId="77777777" w:rsidR="001B4284" w:rsidRPr="007466EF" w:rsidRDefault="001B4284" w:rsidP="001B4284">
            <w:pPr>
              <w:rPr>
                <w:sz w:val="16"/>
                <w:szCs w:val="16"/>
              </w:rPr>
            </w:pPr>
            <w:proofErr w:type="spellStart"/>
            <w:r w:rsidRPr="007466EF">
              <w:rPr>
                <w:sz w:val="16"/>
                <w:szCs w:val="16"/>
              </w:rPr>
              <w:t>Raiffeisenbank</w:t>
            </w:r>
            <w:proofErr w:type="spellEnd"/>
            <w:r w:rsidRPr="007466EF">
              <w:rPr>
                <w:sz w:val="16"/>
                <w:szCs w:val="16"/>
              </w:rPr>
              <w:t xml:space="preserve"> EUR 120 </w:t>
            </w:r>
            <w:proofErr w:type="spellStart"/>
            <w:r w:rsidRPr="007466EF">
              <w:rPr>
                <w:sz w:val="16"/>
                <w:szCs w:val="16"/>
              </w:rPr>
              <w:t>mil</w:t>
            </w:r>
            <w:proofErr w:type="spellEnd"/>
            <w:r w:rsidRPr="007466EF">
              <w:rPr>
                <w:sz w:val="16"/>
                <w:szCs w:val="16"/>
              </w:rPr>
              <w:t>.</w:t>
            </w:r>
          </w:p>
        </w:tc>
        <w:tc>
          <w:tcPr>
            <w:tcW w:w="1185" w:type="dxa"/>
            <w:tcBorders>
              <w:top w:val="nil"/>
              <w:left w:val="nil"/>
              <w:bottom w:val="single" w:sz="4" w:space="0" w:color="auto"/>
              <w:right w:val="single" w:sz="4" w:space="0" w:color="auto"/>
            </w:tcBorders>
            <w:shd w:val="clear" w:color="auto" w:fill="auto"/>
            <w:noWrap/>
            <w:vAlign w:val="center"/>
            <w:hideMark/>
          </w:tcPr>
          <w:p w14:paraId="27AD7116" w14:textId="77777777" w:rsidR="001B4284" w:rsidRPr="007466EF" w:rsidRDefault="001B4284" w:rsidP="001B4284">
            <w:pPr>
              <w:jc w:val="center"/>
              <w:rPr>
                <w:sz w:val="16"/>
                <w:szCs w:val="16"/>
              </w:rPr>
            </w:pPr>
            <w:proofErr w:type="spellStart"/>
            <w:r w:rsidRPr="007466EF">
              <w:rPr>
                <w:sz w:val="16"/>
                <w:szCs w:val="16"/>
              </w:rPr>
              <w:t>Raiffeisenbank</w:t>
            </w:r>
            <w:proofErr w:type="spellEnd"/>
          </w:p>
        </w:tc>
        <w:tc>
          <w:tcPr>
            <w:tcW w:w="1083" w:type="dxa"/>
            <w:tcBorders>
              <w:top w:val="single" w:sz="4" w:space="0" w:color="auto"/>
              <w:left w:val="nil"/>
              <w:bottom w:val="nil"/>
              <w:right w:val="single" w:sz="4" w:space="0" w:color="auto"/>
            </w:tcBorders>
            <w:shd w:val="clear" w:color="auto" w:fill="auto"/>
            <w:noWrap/>
            <w:vAlign w:val="center"/>
            <w:hideMark/>
          </w:tcPr>
          <w:p w14:paraId="43D80F17" w14:textId="77777777" w:rsidR="001B4284" w:rsidRPr="007466EF" w:rsidRDefault="001B4284" w:rsidP="001B4284">
            <w:pPr>
              <w:jc w:val="center"/>
              <w:rPr>
                <w:sz w:val="16"/>
                <w:szCs w:val="16"/>
              </w:rPr>
            </w:pPr>
            <w:r w:rsidRPr="007466EF">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52C7C4BD" w14:textId="77777777" w:rsidR="001B4284" w:rsidRPr="007466EF" w:rsidRDefault="001B4284" w:rsidP="001B4284">
            <w:pPr>
              <w:jc w:val="right"/>
              <w:rPr>
                <w:sz w:val="16"/>
                <w:szCs w:val="16"/>
              </w:rPr>
            </w:pPr>
            <w:r w:rsidRPr="007466EF">
              <w:rPr>
                <w:sz w:val="16"/>
                <w:szCs w:val="16"/>
              </w:rPr>
              <w:t>45.000.000,00</w:t>
            </w:r>
          </w:p>
        </w:tc>
      </w:tr>
      <w:tr w:rsidR="001B4284" w:rsidRPr="007466EF" w14:paraId="15DB46D2"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4D7A310A" w14:textId="77777777" w:rsidR="001B4284" w:rsidRPr="007466EF" w:rsidRDefault="001B4284" w:rsidP="001B4284">
            <w:pPr>
              <w:jc w:val="center"/>
              <w:rPr>
                <w:sz w:val="16"/>
                <w:szCs w:val="16"/>
              </w:rPr>
            </w:pPr>
            <w:r w:rsidRPr="007466EF">
              <w:rPr>
                <w:sz w:val="16"/>
                <w:szCs w:val="16"/>
              </w:rPr>
              <w:t>8.</w:t>
            </w:r>
          </w:p>
        </w:tc>
        <w:tc>
          <w:tcPr>
            <w:tcW w:w="3338" w:type="dxa"/>
            <w:tcBorders>
              <w:top w:val="nil"/>
              <w:left w:val="nil"/>
              <w:bottom w:val="single" w:sz="4" w:space="0" w:color="auto"/>
              <w:right w:val="single" w:sz="4" w:space="0" w:color="auto"/>
            </w:tcBorders>
            <w:shd w:val="clear" w:color="auto" w:fill="auto"/>
            <w:noWrap/>
            <w:vAlign w:val="center"/>
            <w:hideMark/>
          </w:tcPr>
          <w:p w14:paraId="63B83694" w14:textId="77777777" w:rsidR="001B4284" w:rsidRPr="007466EF" w:rsidRDefault="001B4284" w:rsidP="001B4284">
            <w:pPr>
              <w:rPr>
                <w:sz w:val="16"/>
                <w:szCs w:val="16"/>
              </w:rPr>
            </w:pPr>
            <w:proofErr w:type="spellStart"/>
            <w:r w:rsidRPr="007466EF">
              <w:rPr>
                <w:sz w:val="16"/>
                <w:szCs w:val="16"/>
              </w:rPr>
              <w:t>Raiffeisenbank</w:t>
            </w:r>
            <w:proofErr w:type="spellEnd"/>
            <w:r w:rsidRPr="007466EF">
              <w:rPr>
                <w:sz w:val="16"/>
                <w:szCs w:val="16"/>
              </w:rPr>
              <w:t xml:space="preserve"> EUR 150 </w:t>
            </w:r>
            <w:proofErr w:type="spellStart"/>
            <w:r w:rsidRPr="007466EF">
              <w:rPr>
                <w:sz w:val="16"/>
                <w:szCs w:val="16"/>
              </w:rPr>
              <w:t>mil</w:t>
            </w:r>
            <w:proofErr w:type="spellEnd"/>
            <w:r w:rsidRPr="007466EF">
              <w:rPr>
                <w:sz w:val="16"/>
                <w:szCs w:val="16"/>
              </w:rPr>
              <w:t>. D-2026</w:t>
            </w:r>
          </w:p>
        </w:tc>
        <w:tc>
          <w:tcPr>
            <w:tcW w:w="1185" w:type="dxa"/>
            <w:tcBorders>
              <w:top w:val="nil"/>
              <w:left w:val="nil"/>
              <w:bottom w:val="single" w:sz="4" w:space="0" w:color="auto"/>
              <w:right w:val="single" w:sz="4" w:space="0" w:color="auto"/>
            </w:tcBorders>
            <w:shd w:val="clear" w:color="auto" w:fill="auto"/>
            <w:noWrap/>
            <w:vAlign w:val="center"/>
            <w:hideMark/>
          </w:tcPr>
          <w:p w14:paraId="2D12C5D3" w14:textId="77777777" w:rsidR="001B4284" w:rsidRPr="007466EF" w:rsidRDefault="001B4284" w:rsidP="001B4284">
            <w:pPr>
              <w:jc w:val="center"/>
              <w:rPr>
                <w:sz w:val="16"/>
                <w:szCs w:val="16"/>
              </w:rPr>
            </w:pPr>
            <w:proofErr w:type="spellStart"/>
            <w:r w:rsidRPr="007466EF">
              <w:rPr>
                <w:sz w:val="16"/>
                <w:szCs w:val="16"/>
              </w:rPr>
              <w:t>Raiffeisenbank</w:t>
            </w:r>
            <w:proofErr w:type="spellEnd"/>
          </w:p>
        </w:tc>
        <w:tc>
          <w:tcPr>
            <w:tcW w:w="1083" w:type="dxa"/>
            <w:tcBorders>
              <w:top w:val="single" w:sz="4" w:space="0" w:color="auto"/>
              <w:left w:val="nil"/>
              <w:bottom w:val="nil"/>
              <w:right w:val="single" w:sz="4" w:space="0" w:color="auto"/>
            </w:tcBorders>
            <w:shd w:val="clear" w:color="auto" w:fill="auto"/>
            <w:noWrap/>
            <w:vAlign w:val="center"/>
            <w:hideMark/>
          </w:tcPr>
          <w:p w14:paraId="443C055F" w14:textId="77777777" w:rsidR="001B4284" w:rsidRPr="007466EF" w:rsidRDefault="001B4284" w:rsidP="001B4284">
            <w:pPr>
              <w:jc w:val="center"/>
              <w:rPr>
                <w:sz w:val="16"/>
                <w:szCs w:val="16"/>
              </w:rPr>
            </w:pPr>
            <w:r w:rsidRPr="007466EF">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4DA6DF8F" w14:textId="77777777" w:rsidR="001B4284" w:rsidRPr="007466EF" w:rsidRDefault="001B4284" w:rsidP="001B4284">
            <w:pPr>
              <w:jc w:val="right"/>
              <w:rPr>
                <w:sz w:val="16"/>
                <w:szCs w:val="16"/>
              </w:rPr>
            </w:pPr>
            <w:r w:rsidRPr="007466EF">
              <w:rPr>
                <w:sz w:val="16"/>
                <w:szCs w:val="16"/>
              </w:rPr>
              <w:t>75.000.000,00</w:t>
            </w:r>
          </w:p>
        </w:tc>
      </w:tr>
      <w:tr w:rsidR="001B4284" w:rsidRPr="007466EF" w14:paraId="52A7ADCA"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18389FE9" w14:textId="77777777" w:rsidR="001B4284" w:rsidRPr="007466EF" w:rsidRDefault="001B4284" w:rsidP="001B4284">
            <w:pPr>
              <w:jc w:val="center"/>
              <w:rPr>
                <w:sz w:val="16"/>
                <w:szCs w:val="16"/>
              </w:rPr>
            </w:pPr>
            <w:r w:rsidRPr="007466EF">
              <w:rPr>
                <w:sz w:val="16"/>
                <w:szCs w:val="16"/>
              </w:rPr>
              <w:t>9.</w:t>
            </w:r>
          </w:p>
        </w:tc>
        <w:tc>
          <w:tcPr>
            <w:tcW w:w="3338" w:type="dxa"/>
            <w:tcBorders>
              <w:top w:val="nil"/>
              <w:left w:val="nil"/>
              <w:bottom w:val="single" w:sz="4" w:space="0" w:color="auto"/>
              <w:right w:val="single" w:sz="4" w:space="0" w:color="auto"/>
            </w:tcBorders>
            <w:shd w:val="clear" w:color="auto" w:fill="auto"/>
            <w:noWrap/>
            <w:vAlign w:val="center"/>
            <w:hideMark/>
          </w:tcPr>
          <w:p w14:paraId="4F5B7B45" w14:textId="77777777" w:rsidR="001B4284" w:rsidRPr="007466EF" w:rsidRDefault="001B4284" w:rsidP="001B4284">
            <w:pPr>
              <w:rPr>
                <w:sz w:val="16"/>
                <w:szCs w:val="16"/>
              </w:rPr>
            </w:pPr>
            <w:r w:rsidRPr="007466EF">
              <w:rPr>
                <w:sz w:val="16"/>
                <w:szCs w:val="16"/>
              </w:rPr>
              <w:t xml:space="preserve">ZABA EUR 200 </w:t>
            </w:r>
            <w:proofErr w:type="spellStart"/>
            <w:r w:rsidRPr="007466EF">
              <w:rPr>
                <w:sz w:val="16"/>
                <w:szCs w:val="16"/>
              </w:rPr>
              <w:t>mil</w:t>
            </w:r>
            <w:proofErr w:type="spellEnd"/>
            <w:r w:rsidRPr="007466EF">
              <w:rPr>
                <w:sz w:val="16"/>
                <w:szCs w:val="16"/>
              </w:rPr>
              <w:t>. D-2027</w:t>
            </w:r>
          </w:p>
        </w:tc>
        <w:tc>
          <w:tcPr>
            <w:tcW w:w="1185" w:type="dxa"/>
            <w:tcBorders>
              <w:top w:val="nil"/>
              <w:left w:val="nil"/>
              <w:bottom w:val="single" w:sz="4" w:space="0" w:color="auto"/>
              <w:right w:val="single" w:sz="4" w:space="0" w:color="auto"/>
            </w:tcBorders>
            <w:shd w:val="clear" w:color="auto" w:fill="auto"/>
            <w:noWrap/>
            <w:vAlign w:val="center"/>
            <w:hideMark/>
          </w:tcPr>
          <w:p w14:paraId="0394E6CE" w14:textId="77777777" w:rsidR="001B4284" w:rsidRPr="007466EF" w:rsidRDefault="001B4284" w:rsidP="001B4284">
            <w:pPr>
              <w:jc w:val="center"/>
              <w:rPr>
                <w:sz w:val="16"/>
                <w:szCs w:val="16"/>
              </w:rPr>
            </w:pPr>
            <w:r w:rsidRPr="007466EF">
              <w:rPr>
                <w:sz w:val="16"/>
                <w:szCs w:val="16"/>
              </w:rPr>
              <w:t>ZABA</w:t>
            </w:r>
          </w:p>
        </w:tc>
        <w:tc>
          <w:tcPr>
            <w:tcW w:w="1083" w:type="dxa"/>
            <w:tcBorders>
              <w:top w:val="single" w:sz="4" w:space="0" w:color="auto"/>
              <w:left w:val="nil"/>
              <w:bottom w:val="nil"/>
              <w:right w:val="single" w:sz="4" w:space="0" w:color="auto"/>
            </w:tcBorders>
            <w:shd w:val="clear" w:color="auto" w:fill="auto"/>
            <w:noWrap/>
            <w:vAlign w:val="center"/>
            <w:hideMark/>
          </w:tcPr>
          <w:p w14:paraId="02670D0F" w14:textId="77777777" w:rsidR="001B4284" w:rsidRPr="007466EF" w:rsidRDefault="001B4284" w:rsidP="001B4284">
            <w:pPr>
              <w:jc w:val="center"/>
              <w:rPr>
                <w:sz w:val="16"/>
                <w:szCs w:val="16"/>
              </w:rPr>
            </w:pPr>
            <w:r w:rsidRPr="007466EF">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466CAFF9" w14:textId="77777777" w:rsidR="001B4284" w:rsidRPr="007466EF" w:rsidRDefault="001B4284" w:rsidP="001B4284">
            <w:pPr>
              <w:jc w:val="right"/>
              <w:rPr>
                <w:sz w:val="16"/>
                <w:szCs w:val="16"/>
              </w:rPr>
            </w:pPr>
            <w:r w:rsidRPr="007466EF">
              <w:rPr>
                <w:sz w:val="16"/>
                <w:szCs w:val="16"/>
              </w:rPr>
              <w:t>120.000.000,00</w:t>
            </w:r>
          </w:p>
        </w:tc>
      </w:tr>
      <w:tr w:rsidR="001B4284" w:rsidRPr="007466EF" w14:paraId="3D5920F9"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05C2F00F" w14:textId="77777777" w:rsidR="001B4284" w:rsidRPr="007466EF" w:rsidRDefault="001B4284" w:rsidP="001B4284">
            <w:pPr>
              <w:jc w:val="center"/>
              <w:rPr>
                <w:sz w:val="16"/>
                <w:szCs w:val="16"/>
              </w:rPr>
            </w:pPr>
            <w:r w:rsidRPr="007466EF">
              <w:rPr>
                <w:sz w:val="16"/>
                <w:szCs w:val="16"/>
              </w:rPr>
              <w:t>10.</w:t>
            </w:r>
          </w:p>
        </w:tc>
        <w:tc>
          <w:tcPr>
            <w:tcW w:w="3338" w:type="dxa"/>
            <w:tcBorders>
              <w:top w:val="nil"/>
              <w:left w:val="nil"/>
              <w:bottom w:val="single" w:sz="4" w:space="0" w:color="auto"/>
              <w:right w:val="single" w:sz="4" w:space="0" w:color="auto"/>
            </w:tcBorders>
            <w:shd w:val="clear" w:color="auto" w:fill="auto"/>
            <w:noWrap/>
            <w:vAlign w:val="center"/>
            <w:hideMark/>
          </w:tcPr>
          <w:p w14:paraId="2280227A" w14:textId="77777777" w:rsidR="001B4284" w:rsidRPr="007466EF" w:rsidRDefault="001B4284" w:rsidP="001B4284">
            <w:pPr>
              <w:rPr>
                <w:sz w:val="16"/>
                <w:szCs w:val="16"/>
              </w:rPr>
            </w:pPr>
            <w:r w:rsidRPr="007466EF">
              <w:rPr>
                <w:sz w:val="16"/>
                <w:szCs w:val="16"/>
              </w:rPr>
              <w:t xml:space="preserve">PBZ EUR 240 </w:t>
            </w:r>
            <w:proofErr w:type="spellStart"/>
            <w:r w:rsidRPr="007466EF">
              <w:rPr>
                <w:sz w:val="16"/>
                <w:szCs w:val="16"/>
              </w:rPr>
              <w:t>mil</w:t>
            </w:r>
            <w:proofErr w:type="spellEnd"/>
            <w:r w:rsidRPr="007466EF">
              <w:rPr>
                <w:sz w:val="16"/>
                <w:szCs w:val="16"/>
              </w:rPr>
              <w:t xml:space="preserve">., D-2026 </w:t>
            </w:r>
          </w:p>
        </w:tc>
        <w:tc>
          <w:tcPr>
            <w:tcW w:w="1185" w:type="dxa"/>
            <w:tcBorders>
              <w:top w:val="nil"/>
              <w:left w:val="nil"/>
              <w:bottom w:val="single" w:sz="4" w:space="0" w:color="auto"/>
              <w:right w:val="single" w:sz="4" w:space="0" w:color="auto"/>
            </w:tcBorders>
            <w:shd w:val="clear" w:color="auto" w:fill="auto"/>
            <w:noWrap/>
            <w:vAlign w:val="center"/>
            <w:hideMark/>
          </w:tcPr>
          <w:p w14:paraId="28B7708C" w14:textId="77777777" w:rsidR="001B4284" w:rsidRPr="007466EF" w:rsidRDefault="001B4284" w:rsidP="001B4284">
            <w:pPr>
              <w:jc w:val="center"/>
              <w:rPr>
                <w:sz w:val="16"/>
                <w:szCs w:val="16"/>
              </w:rPr>
            </w:pPr>
            <w:r w:rsidRPr="007466EF">
              <w:rPr>
                <w:sz w:val="16"/>
                <w:szCs w:val="16"/>
              </w:rPr>
              <w:t>PBZ</w:t>
            </w:r>
          </w:p>
        </w:tc>
        <w:tc>
          <w:tcPr>
            <w:tcW w:w="1083" w:type="dxa"/>
            <w:tcBorders>
              <w:top w:val="single" w:sz="4" w:space="0" w:color="auto"/>
              <w:left w:val="nil"/>
              <w:bottom w:val="nil"/>
              <w:right w:val="single" w:sz="4" w:space="0" w:color="auto"/>
            </w:tcBorders>
            <w:shd w:val="clear" w:color="auto" w:fill="auto"/>
            <w:noWrap/>
            <w:vAlign w:val="center"/>
            <w:hideMark/>
          </w:tcPr>
          <w:p w14:paraId="2065769D" w14:textId="77777777" w:rsidR="001B4284" w:rsidRPr="007466EF" w:rsidRDefault="001B4284" w:rsidP="001B4284">
            <w:pPr>
              <w:jc w:val="center"/>
              <w:rPr>
                <w:sz w:val="16"/>
                <w:szCs w:val="16"/>
              </w:rPr>
            </w:pPr>
            <w:r w:rsidRPr="007466EF">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6F843103" w14:textId="77777777" w:rsidR="001B4284" w:rsidRPr="007466EF" w:rsidRDefault="001B4284" w:rsidP="001B4284">
            <w:pPr>
              <w:jc w:val="right"/>
              <w:rPr>
                <w:sz w:val="16"/>
                <w:szCs w:val="16"/>
              </w:rPr>
            </w:pPr>
            <w:r w:rsidRPr="007466EF">
              <w:rPr>
                <w:sz w:val="16"/>
                <w:szCs w:val="16"/>
              </w:rPr>
              <w:t>120.000.000,00</w:t>
            </w:r>
          </w:p>
        </w:tc>
      </w:tr>
      <w:tr w:rsidR="001B4284" w:rsidRPr="007466EF" w14:paraId="2942C1EA"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1F52C50E" w14:textId="77777777" w:rsidR="001B4284" w:rsidRPr="007466EF" w:rsidRDefault="001B4284" w:rsidP="001B4284">
            <w:pPr>
              <w:jc w:val="center"/>
              <w:rPr>
                <w:sz w:val="16"/>
                <w:szCs w:val="16"/>
              </w:rPr>
            </w:pPr>
            <w:r w:rsidRPr="007466EF">
              <w:rPr>
                <w:sz w:val="16"/>
                <w:szCs w:val="16"/>
              </w:rPr>
              <w:t>11.</w:t>
            </w:r>
          </w:p>
        </w:tc>
        <w:tc>
          <w:tcPr>
            <w:tcW w:w="3338" w:type="dxa"/>
            <w:tcBorders>
              <w:top w:val="nil"/>
              <w:left w:val="nil"/>
              <w:bottom w:val="double" w:sz="4" w:space="0" w:color="auto"/>
              <w:right w:val="single" w:sz="4" w:space="0" w:color="auto"/>
            </w:tcBorders>
            <w:shd w:val="clear" w:color="auto" w:fill="auto"/>
            <w:noWrap/>
            <w:vAlign w:val="center"/>
            <w:hideMark/>
          </w:tcPr>
          <w:p w14:paraId="455E6056" w14:textId="77777777" w:rsidR="001B4284" w:rsidRPr="007466EF" w:rsidRDefault="001B4284" w:rsidP="001B4284">
            <w:pPr>
              <w:rPr>
                <w:sz w:val="16"/>
                <w:szCs w:val="16"/>
              </w:rPr>
            </w:pPr>
            <w:proofErr w:type="spellStart"/>
            <w:r w:rsidRPr="007466EF">
              <w:rPr>
                <w:sz w:val="16"/>
                <w:szCs w:val="16"/>
              </w:rPr>
              <w:t>Raiffeisenbank</w:t>
            </w:r>
            <w:proofErr w:type="spellEnd"/>
            <w:r w:rsidRPr="007466EF">
              <w:rPr>
                <w:sz w:val="16"/>
                <w:szCs w:val="16"/>
              </w:rPr>
              <w:t xml:space="preserve"> EUR 100 </w:t>
            </w:r>
            <w:proofErr w:type="spellStart"/>
            <w:r w:rsidRPr="007466EF">
              <w:rPr>
                <w:sz w:val="16"/>
                <w:szCs w:val="16"/>
              </w:rPr>
              <w:t>mil</w:t>
            </w:r>
            <w:proofErr w:type="spellEnd"/>
            <w:r w:rsidRPr="007466EF">
              <w:rPr>
                <w:sz w:val="16"/>
                <w:szCs w:val="16"/>
              </w:rPr>
              <w:t xml:space="preserve">. D-2027 </w:t>
            </w:r>
          </w:p>
        </w:tc>
        <w:tc>
          <w:tcPr>
            <w:tcW w:w="1185" w:type="dxa"/>
            <w:tcBorders>
              <w:top w:val="nil"/>
              <w:left w:val="nil"/>
              <w:bottom w:val="single" w:sz="4" w:space="0" w:color="auto"/>
              <w:right w:val="single" w:sz="4" w:space="0" w:color="auto"/>
            </w:tcBorders>
            <w:shd w:val="clear" w:color="auto" w:fill="auto"/>
            <w:noWrap/>
            <w:vAlign w:val="center"/>
            <w:hideMark/>
          </w:tcPr>
          <w:p w14:paraId="50A28A33" w14:textId="77777777" w:rsidR="001B4284" w:rsidRPr="007466EF" w:rsidRDefault="001B4284" w:rsidP="001B4284">
            <w:pPr>
              <w:jc w:val="center"/>
              <w:rPr>
                <w:sz w:val="16"/>
                <w:szCs w:val="16"/>
              </w:rPr>
            </w:pPr>
            <w:proofErr w:type="spellStart"/>
            <w:r w:rsidRPr="007466EF">
              <w:rPr>
                <w:sz w:val="16"/>
                <w:szCs w:val="16"/>
              </w:rPr>
              <w:t>Raiffeisenbank</w:t>
            </w:r>
            <w:proofErr w:type="spellEnd"/>
          </w:p>
        </w:tc>
        <w:tc>
          <w:tcPr>
            <w:tcW w:w="1083" w:type="dxa"/>
            <w:tcBorders>
              <w:top w:val="single" w:sz="4" w:space="0" w:color="auto"/>
              <w:left w:val="nil"/>
              <w:bottom w:val="nil"/>
              <w:right w:val="single" w:sz="4" w:space="0" w:color="auto"/>
            </w:tcBorders>
            <w:shd w:val="clear" w:color="auto" w:fill="auto"/>
            <w:noWrap/>
            <w:vAlign w:val="center"/>
            <w:hideMark/>
          </w:tcPr>
          <w:p w14:paraId="069CA0E5" w14:textId="77777777" w:rsidR="001B4284" w:rsidRPr="007466EF" w:rsidRDefault="001B4284" w:rsidP="001B4284">
            <w:pPr>
              <w:jc w:val="center"/>
              <w:rPr>
                <w:sz w:val="16"/>
                <w:szCs w:val="16"/>
              </w:rPr>
            </w:pPr>
            <w:r w:rsidRPr="007466EF">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41D526EA" w14:textId="77777777" w:rsidR="001B4284" w:rsidRPr="007466EF" w:rsidRDefault="001B4284" w:rsidP="001B4284">
            <w:pPr>
              <w:jc w:val="right"/>
              <w:rPr>
                <w:sz w:val="16"/>
                <w:szCs w:val="16"/>
              </w:rPr>
            </w:pPr>
            <w:r w:rsidRPr="007466EF">
              <w:rPr>
                <w:sz w:val="16"/>
                <w:szCs w:val="16"/>
              </w:rPr>
              <w:t>62.500.000,00</w:t>
            </w:r>
          </w:p>
        </w:tc>
      </w:tr>
      <w:tr w:rsidR="001B4284" w:rsidRPr="007466EF" w14:paraId="73288165" w14:textId="77777777" w:rsidTr="000F0D22">
        <w:trPr>
          <w:trHeight w:val="330"/>
          <w:jc w:val="center"/>
        </w:trPr>
        <w:tc>
          <w:tcPr>
            <w:tcW w:w="91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0115FEDC" w14:textId="77777777" w:rsidR="001B4284" w:rsidRPr="007466EF" w:rsidRDefault="001B4284" w:rsidP="001B4284">
            <w:pPr>
              <w:jc w:val="center"/>
              <w:rPr>
                <w:b/>
                <w:bCs/>
                <w:sz w:val="16"/>
                <w:szCs w:val="16"/>
              </w:rPr>
            </w:pPr>
            <w:r w:rsidRPr="007466EF">
              <w:rPr>
                <w:b/>
                <w:bCs/>
                <w:sz w:val="16"/>
                <w:szCs w:val="16"/>
              </w:rPr>
              <w:t>UKUPNO</w:t>
            </w:r>
          </w:p>
        </w:tc>
        <w:tc>
          <w:tcPr>
            <w:tcW w:w="3338" w:type="dxa"/>
            <w:tcBorders>
              <w:top w:val="double" w:sz="4" w:space="0" w:color="auto"/>
              <w:left w:val="nil"/>
              <w:bottom w:val="double" w:sz="6" w:space="0" w:color="auto"/>
              <w:right w:val="double" w:sz="6" w:space="0" w:color="auto"/>
            </w:tcBorders>
            <w:shd w:val="clear" w:color="auto" w:fill="auto"/>
            <w:noWrap/>
            <w:vAlign w:val="center"/>
            <w:hideMark/>
          </w:tcPr>
          <w:p w14:paraId="43DEF106" w14:textId="77777777" w:rsidR="001B4284" w:rsidRPr="007466EF" w:rsidRDefault="001B4284" w:rsidP="001B4284">
            <w:pPr>
              <w:rPr>
                <w:sz w:val="16"/>
                <w:szCs w:val="16"/>
              </w:rPr>
            </w:pPr>
            <w:r w:rsidRPr="007466EF">
              <w:rPr>
                <w:sz w:val="16"/>
                <w:szCs w:val="16"/>
              </w:rPr>
              <w:t> </w:t>
            </w:r>
          </w:p>
        </w:tc>
        <w:tc>
          <w:tcPr>
            <w:tcW w:w="1185" w:type="dxa"/>
            <w:tcBorders>
              <w:top w:val="double" w:sz="6" w:space="0" w:color="auto"/>
              <w:left w:val="nil"/>
              <w:bottom w:val="double" w:sz="6" w:space="0" w:color="auto"/>
              <w:right w:val="double" w:sz="6" w:space="0" w:color="auto"/>
            </w:tcBorders>
            <w:shd w:val="clear" w:color="auto" w:fill="auto"/>
            <w:noWrap/>
            <w:vAlign w:val="center"/>
            <w:hideMark/>
          </w:tcPr>
          <w:p w14:paraId="5AD1485F" w14:textId="77777777" w:rsidR="001B4284" w:rsidRPr="007466EF" w:rsidRDefault="001B4284" w:rsidP="001B4284">
            <w:pPr>
              <w:rPr>
                <w:sz w:val="16"/>
                <w:szCs w:val="16"/>
              </w:rPr>
            </w:pPr>
            <w:r w:rsidRPr="007466EF">
              <w:rPr>
                <w:sz w:val="16"/>
                <w:szCs w:val="16"/>
              </w:rPr>
              <w:t> </w:t>
            </w:r>
          </w:p>
        </w:tc>
        <w:tc>
          <w:tcPr>
            <w:tcW w:w="1083" w:type="dxa"/>
            <w:tcBorders>
              <w:top w:val="double" w:sz="6" w:space="0" w:color="auto"/>
              <w:left w:val="nil"/>
              <w:bottom w:val="double" w:sz="6" w:space="0" w:color="auto"/>
              <w:right w:val="double" w:sz="6" w:space="0" w:color="auto"/>
            </w:tcBorders>
            <w:shd w:val="clear" w:color="auto" w:fill="auto"/>
            <w:noWrap/>
            <w:vAlign w:val="center"/>
            <w:hideMark/>
          </w:tcPr>
          <w:p w14:paraId="29D25DF9" w14:textId="77777777" w:rsidR="001B4284" w:rsidRPr="007466EF" w:rsidRDefault="001B4284" w:rsidP="001B4284">
            <w:pPr>
              <w:jc w:val="center"/>
              <w:rPr>
                <w:b/>
                <w:bCs/>
                <w:sz w:val="16"/>
                <w:szCs w:val="16"/>
              </w:rPr>
            </w:pPr>
            <w:r w:rsidRPr="007466EF">
              <w:rPr>
                <w:b/>
                <w:bCs/>
                <w:sz w:val="16"/>
                <w:szCs w:val="16"/>
              </w:rPr>
              <w:t>EUR</w:t>
            </w:r>
          </w:p>
        </w:tc>
        <w:tc>
          <w:tcPr>
            <w:tcW w:w="1701" w:type="dxa"/>
            <w:tcBorders>
              <w:top w:val="double" w:sz="6" w:space="0" w:color="auto"/>
              <w:left w:val="nil"/>
              <w:bottom w:val="double" w:sz="6" w:space="0" w:color="auto"/>
              <w:right w:val="double" w:sz="6" w:space="0" w:color="auto"/>
            </w:tcBorders>
            <w:shd w:val="clear" w:color="auto" w:fill="auto"/>
            <w:noWrap/>
            <w:vAlign w:val="center"/>
            <w:hideMark/>
          </w:tcPr>
          <w:p w14:paraId="066BDDCC" w14:textId="77777777" w:rsidR="001B4284" w:rsidRPr="007466EF" w:rsidRDefault="001B4284" w:rsidP="001B4284">
            <w:pPr>
              <w:jc w:val="right"/>
              <w:rPr>
                <w:b/>
                <w:bCs/>
                <w:sz w:val="16"/>
                <w:szCs w:val="16"/>
              </w:rPr>
            </w:pPr>
            <w:r w:rsidRPr="007466EF">
              <w:rPr>
                <w:b/>
                <w:bCs/>
                <w:sz w:val="16"/>
                <w:szCs w:val="16"/>
              </w:rPr>
              <w:t>1.330.335.622,82</w:t>
            </w:r>
          </w:p>
        </w:tc>
      </w:tr>
    </w:tbl>
    <w:p w14:paraId="3172720B" w14:textId="77777777" w:rsidR="001B4284" w:rsidRPr="007466EF" w:rsidRDefault="001B4284" w:rsidP="001B4284">
      <w:pPr>
        <w:shd w:val="clear" w:color="auto" w:fill="FFFFFF"/>
        <w:jc w:val="both"/>
        <w:rPr>
          <w:color w:val="000000"/>
        </w:rPr>
      </w:pPr>
    </w:p>
    <w:p w14:paraId="0E8DD0AA" w14:textId="77777777" w:rsidR="001B4284" w:rsidRPr="007466EF" w:rsidRDefault="001B4284" w:rsidP="001B4284">
      <w:pPr>
        <w:keepNext/>
        <w:rPr>
          <w:color w:val="000000"/>
        </w:rPr>
      </w:pPr>
      <w:r w:rsidRPr="007466EF">
        <w:rPr>
          <w:color w:val="000000"/>
        </w:rPr>
        <w:t>Analitički prikaz stanja obveza za kredite sveučilišta sa stanjem na dan 31. prosinca 2024. daje se u Tablici 11.</w:t>
      </w:r>
    </w:p>
    <w:p w14:paraId="718AB3DD" w14:textId="77777777" w:rsidR="001B4284" w:rsidRPr="007466EF" w:rsidRDefault="001B4284" w:rsidP="001B4284">
      <w:pPr>
        <w:keepNext/>
        <w:rPr>
          <w:color w:val="000000"/>
        </w:rPr>
      </w:pPr>
    </w:p>
    <w:p w14:paraId="712328A2" w14:textId="77777777" w:rsidR="001B4284" w:rsidRPr="007466EF" w:rsidRDefault="001B4284" w:rsidP="001B4284">
      <w:pPr>
        <w:keepNext/>
        <w:jc w:val="both"/>
        <w:rPr>
          <w:b/>
          <w:sz w:val="20"/>
          <w:szCs w:val="20"/>
        </w:rPr>
      </w:pPr>
      <w:r w:rsidRPr="007466EF">
        <w:rPr>
          <w:b/>
          <w:sz w:val="20"/>
          <w:szCs w:val="20"/>
        </w:rPr>
        <w:t>Tablica 11. Analitički prikaz obveza za kredite sveučilišta</w:t>
      </w:r>
    </w:p>
    <w:tbl>
      <w:tblPr>
        <w:tblW w:w="7024" w:type="dxa"/>
        <w:jc w:val="center"/>
        <w:tblLook w:val="04A0" w:firstRow="1" w:lastRow="0" w:firstColumn="1" w:lastColumn="0" w:noHBand="0" w:noVBand="1"/>
      </w:tblPr>
      <w:tblGrid>
        <w:gridCol w:w="1134"/>
        <w:gridCol w:w="2127"/>
        <w:gridCol w:w="1417"/>
        <w:gridCol w:w="992"/>
        <w:gridCol w:w="1354"/>
      </w:tblGrid>
      <w:tr w:rsidR="001B4284" w:rsidRPr="007466EF" w14:paraId="6063326B" w14:textId="77777777" w:rsidTr="000F0D22">
        <w:trPr>
          <w:trHeight w:val="615"/>
          <w:jc w:val="center"/>
        </w:trPr>
        <w:tc>
          <w:tcPr>
            <w:tcW w:w="113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CDAB8B9" w14:textId="77777777" w:rsidR="001B4284" w:rsidRPr="007466EF" w:rsidRDefault="001B4284" w:rsidP="001B4284">
            <w:pPr>
              <w:jc w:val="center"/>
              <w:rPr>
                <w:b/>
                <w:bCs/>
                <w:color w:val="000000"/>
                <w:sz w:val="20"/>
                <w:szCs w:val="20"/>
              </w:rPr>
            </w:pPr>
            <w:r w:rsidRPr="007466EF">
              <w:rPr>
                <w:b/>
                <w:bCs/>
                <w:color w:val="000000"/>
                <w:sz w:val="20"/>
                <w:szCs w:val="20"/>
              </w:rPr>
              <w:t>R.br.</w:t>
            </w:r>
          </w:p>
        </w:tc>
        <w:tc>
          <w:tcPr>
            <w:tcW w:w="2127" w:type="dxa"/>
            <w:tcBorders>
              <w:top w:val="single" w:sz="8" w:space="0" w:color="auto"/>
              <w:left w:val="nil"/>
              <w:bottom w:val="single" w:sz="8" w:space="0" w:color="auto"/>
              <w:right w:val="single" w:sz="4" w:space="0" w:color="auto"/>
            </w:tcBorders>
            <w:shd w:val="clear" w:color="auto" w:fill="auto"/>
            <w:noWrap/>
            <w:vAlign w:val="center"/>
            <w:hideMark/>
          </w:tcPr>
          <w:p w14:paraId="1DED8460" w14:textId="77777777" w:rsidR="001B4284" w:rsidRPr="007466EF" w:rsidRDefault="001B4284" w:rsidP="001B4284">
            <w:pPr>
              <w:jc w:val="center"/>
              <w:rPr>
                <w:b/>
                <w:bCs/>
                <w:color w:val="000000"/>
                <w:sz w:val="20"/>
                <w:szCs w:val="20"/>
              </w:rPr>
            </w:pPr>
            <w:r w:rsidRPr="007466EF">
              <w:rPr>
                <w:b/>
                <w:bCs/>
                <w:color w:val="000000"/>
                <w:sz w:val="20"/>
                <w:szCs w:val="20"/>
              </w:rPr>
              <w:t>Opis</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3BFC1165" w14:textId="77777777" w:rsidR="001B4284" w:rsidRPr="007466EF" w:rsidRDefault="001B4284" w:rsidP="001B4284">
            <w:pPr>
              <w:jc w:val="center"/>
              <w:rPr>
                <w:b/>
                <w:bCs/>
                <w:color w:val="000000"/>
                <w:sz w:val="20"/>
                <w:szCs w:val="20"/>
              </w:rPr>
            </w:pPr>
            <w:r w:rsidRPr="007466EF">
              <w:rPr>
                <w:b/>
                <w:bCs/>
                <w:color w:val="000000"/>
                <w:sz w:val="20"/>
                <w:szCs w:val="20"/>
              </w:rPr>
              <w:t>Banka</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50342436" w14:textId="77777777" w:rsidR="001B4284" w:rsidRPr="007466EF" w:rsidRDefault="001B4284" w:rsidP="001B4284">
            <w:pPr>
              <w:jc w:val="center"/>
              <w:rPr>
                <w:b/>
                <w:bCs/>
                <w:color w:val="000000"/>
                <w:sz w:val="20"/>
                <w:szCs w:val="20"/>
              </w:rPr>
            </w:pPr>
            <w:r w:rsidRPr="007466EF">
              <w:rPr>
                <w:b/>
                <w:bCs/>
                <w:color w:val="000000"/>
                <w:sz w:val="20"/>
                <w:szCs w:val="20"/>
              </w:rPr>
              <w:t>Valuta</w:t>
            </w:r>
          </w:p>
        </w:tc>
        <w:tc>
          <w:tcPr>
            <w:tcW w:w="1354" w:type="dxa"/>
            <w:tcBorders>
              <w:top w:val="single" w:sz="8" w:space="0" w:color="auto"/>
              <w:left w:val="nil"/>
              <w:bottom w:val="single" w:sz="8" w:space="0" w:color="auto"/>
              <w:right w:val="single" w:sz="8" w:space="0" w:color="auto"/>
            </w:tcBorders>
            <w:shd w:val="clear" w:color="auto" w:fill="auto"/>
            <w:vAlign w:val="center"/>
            <w:hideMark/>
          </w:tcPr>
          <w:p w14:paraId="7B5E0142" w14:textId="77777777" w:rsidR="001B4284" w:rsidRPr="007466EF" w:rsidRDefault="001B4284" w:rsidP="001B4284">
            <w:pPr>
              <w:jc w:val="center"/>
              <w:rPr>
                <w:b/>
                <w:bCs/>
                <w:sz w:val="20"/>
                <w:szCs w:val="20"/>
              </w:rPr>
            </w:pPr>
            <w:r w:rsidRPr="007466EF">
              <w:rPr>
                <w:b/>
                <w:bCs/>
                <w:sz w:val="20"/>
                <w:szCs w:val="20"/>
              </w:rPr>
              <w:t xml:space="preserve"> Stanje obveza na 31.12.2023.</w:t>
            </w:r>
          </w:p>
        </w:tc>
      </w:tr>
      <w:tr w:rsidR="001B4284" w:rsidRPr="007466EF" w14:paraId="077DB6E3" w14:textId="77777777" w:rsidTr="000F0D22">
        <w:trPr>
          <w:trHeight w:val="300"/>
          <w:jc w:val="center"/>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58920D02" w14:textId="77777777" w:rsidR="001B4284" w:rsidRPr="007466EF" w:rsidRDefault="001B4284" w:rsidP="001B4284">
            <w:pPr>
              <w:jc w:val="center"/>
              <w:rPr>
                <w:color w:val="000000"/>
                <w:sz w:val="16"/>
                <w:szCs w:val="16"/>
              </w:rPr>
            </w:pPr>
            <w:r w:rsidRPr="007466EF">
              <w:rPr>
                <w:color w:val="000000"/>
                <w:sz w:val="16"/>
                <w:szCs w:val="16"/>
              </w:rPr>
              <w:t>1.</w:t>
            </w:r>
          </w:p>
        </w:tc>
        <w:tc>
          <w:tcPr>
            <w:tcW w:w="2127" w:type="dxa"/>
            <w:tcBorders>
              <w:top w:val="nil"/>
              <w:left w:val="nil"/>
              <w:bottom w:val="single" w:sz="4" w:space="0" w:color="auto"/>
              <w:right w:val="single" w:sz="4" w:space="0" w:color="auto"/>
            </w:tcBorders>
            <w:shd w:val="clear" w:color="auto" w:fill="auto"/>
            <w:noWrap/>
            <w:vAlign w:val="center"/>
            <w:hideMark/>
          </w:tcPr>
          <w:p w14:paraId="7609F345" w14:textId="77777777" w:rsidR="001B4284" w:rsidRPr="007466EF" w:rsidRDefault="001B4284" w:rsidP="001B4284">
            <w:pPr>
              <w:rPr>
                <w:color w:val="000000"/>
                <w:sz w:val="16"/>
                <w:szCs w:val="16"/>
              </w:rPr>
            </w:pPr>
            <w:r w:rsidRPr="007466EF">
              <w:rPr>
                <w:color w:val="000000"/>
                <w:sz w:val="16"/>
                <w:szCs w:val="16"/>
              </w:rPr>
              <w:t>Sveučilište u Rijeci</w:t>
            </w:r>
          </w:p>
        </w:tc>
        <w:tc>
          <w:tcPr>
            <w:tcW w:w="1417" w:type="dxa"/>
            <w:tcBorders>
              <w:top w:val="nil"/>
              <w:left w:val="nil"/>
              <w:bottom w:val="single" w:sz="4" w:space="0" w:color="auto"/>
              <w:right w:val="single" w:sz="4" w:space="0" w:color="auto"/>
            </w:tcBorders>
            <w:shd w:val="clear" w:color="auto" w:fill="auto"/>
            <w:noWrap/>
            <w:vAlign w:val="center"/>
            <w:hideMark/>
          </w:tcPr>
          <w:p w14:paraId="76C68D55" w14:textId="77777777" w:rsidR="001B4284" w:rsidRPr="007466EF" w:rsidRDefault="001B4284" w:rsidP="001B4284">
            <w:pPr>
              <w:jc w:val="center"/>
              <w:rPr>
                <w:color w:val="000000"/>
                <w:sz w:val="16"/>
                <w:szCs w:val="16"/>
              </w:rPr>
            </w:pPr>
            <w:r w:rsidRPr="007466EF">
              <w:rPr>
                <w:color w:val="000000"/>
                <w:sz w:val="16"/>
                <w:szCs w:val="16"/>
              </w:rPr>
              <w:t>ZABA</w:t>
            </w:r>
          </w:p>
        </w:tc>
        <w:tc>
          <w:tcPr>
            <w:tcW w:w="992" w:type="dxa"/>
            <w:tcBorders>
              <w:top w:val="nil"/>
              <w:left w:val="nil"/>
              <w:bottom w:val="single" w:sz="4" w:space="0" w:color="auto"/>
              <w:right w:val="single" w:sz="4" w:space="0" w:color="auto"/>
            </w:tcBorders>
            <w:shd w:val="clear" w:color="auto" w:fill="auto"/>
            <w:noWrap/>
            <w:vAlign w:val="center"/>
            <w:hideMark/>
          </w:tcPr>
          <w:p w14:paraId="3A28EC0B" w14:textId="77777777" w:rsidR="001B4284" w:rsidRPr="007466EF" w:rsidRDefault="001B4284" w:rsidP="001B4284">
            <w:pPr>
              <w:jc w:val="center"/>
              <w:rPr>
                <w:b/>
                <w:bCs/>
                <w:color w:val="000000"/>
                <w:sz w:val="16"/>
                <w:szCs w:val="16"/>
              </w:rPr>
            </w:pPr>
            <w:r w:rsidRPr="007466EF">
              <w:rPr>
                <w:b/>
                <w:bCs/>
                <w:color w:val="000000"/>
                <w:sz w:val="16"/>
                <w:szCs w:val="16"/>
              </w:rPr>
              <w:t>EUR</w:t>
            </w:r>
          </w:p>
        </w:tc>
        <w:tc>
          <w:tcPr>
            <w:tcW w:w="1354" w:type="dxa"/>
            <w:tcBorders>
              <w:top w:val="nil"/>
              <w:left w:val="nil"/>
              <w:bottom w:val="single" w:sz="4" w:space="0" w:color="auto"/>
              <w:right w:val="single" w:sz="8" w:space="0" w:color="auto"/>
            </w:tcBorders>
            <w:shd w:val="clear" w:color="auto" w:fill="auto"/>
            <w:noWrap/>
            <w:vAlign w:val="center"/>
            <w:hideMark/>
          </w:tcPr>
          <w:p w14:paraId="4EF426B4" w14:textId="77777777" w:rsidR="001B4284" w:rsidRPr="007466EF" w:rsidRDefault="001B4284" w:rsidP="001B4284">
            <w:pPr>
              <w:jc w:val="right"/>
              <w:rPr>
                <w:sz w:val="16"/>
                <w:szCs w:val="16"/>
              </w:rPr>
            </w:pPr>
            <w:r w:rsidRPr="007466EF">
              <w:rPr>
                <w:sz w:val="16"/>
                <w:szCs w:val="16"/>
              </w:rPr>
              <w:t>648.752,76</w:t>
            </w:r>
          </w:p>
        </w:tc>
      </w:tr>
      <w:tr w:rsidR="001B4284" w:rsidRPr="007466EF" w14:paraId="3AC45B0E" w14:textId="77777777" w:rsidTr="000F0D22">
        <w:trPr>
          <w:trHeight w:val="300"/>
          <w:jc w:val="center"/>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7CDDE0BA" w14:textId="77777777" w:rsidR="001B4284" w:rsidRPr="007466EF" w:rsidRDefault="001B4284" w:rsidP="001B4284">
            <w:pPr>
              <w:jc w:val="center"/>
              <w:rPr>
                <w:color w:val="000000"/>
                <w:sz w:val="16"/>
                <w:szCs w:val="16"/>
              </w:rPr>
            </w:pPr>
            <w:r w:rsidRPr="007466EF">
              <w:rPr>
                <w:color w:val="000000"/>
                <w:sz w:val="16"/>
                <w:szCs w:val="16"/>
              </w:rPr>
              <w:t>2.</w:t>
            </w:r>
          </w:p>
        </w:tc>
        <w:tc>
          <w:tcPr>
            <w:tcW w:w="2127" w:type="dxa"/>
            <w:tcBorders>
              <w:top w:val="nil"/>
              <w:left w:val="nil"/>
              <w:bottom w:val="single" w:sz="4" w:space="0" w:color="auto"/>
              <w:right w:val="single" w:sz="4" w:space="0" w:color="auto"/>
            </w:tcBorders>
            <w:shd w:val="clear" w:color="auto" w:fill="auto"/>
            <w:noWrap/>
            <w:vAlign w:val="center"/>
            <w:hideMark/>
          </w:tcPr>
          <w:p w14:paraId="67033D99" w14:textId="77777777" w:rsidR="001B4284" w:rsidRPr="007466EF" w:rsidRDefault="001B4284" w:rsidP="001B4284">
            <w:pPr>
              <w:rPr>
                <w:color w:val="000000"/>
                <w:sz w:val="16"/>
                <w:szCs w:val="16"/>
              </w:rPr>
            </w:pPr>
            <w:r w:rsidRPr="007466EF">
              <w:rPr>
                <w:color w:val="000000"/>
                <w:sz w:val="16"/>
                <w:szCs w:val="16"/>
              </w:rPr>
              <w:t>Sveučilište u Splitu</w:t>
            </w:r>
          </w:p>
        </w:tc>
        <w:tc>
          <w:tcPr>
            <w:tcW w:w="1417" w:type="dxa"/>
            <w:tcBorders>
              <w:top w:val="nil"/>
              <w:left w:val="nil"/>
              <w:bottom w:val="single" w:sz="4" w:space="0" w:color="auto"/>
              <w:right w:val="single" w:sz="4" w:space="0" w:color="auto"/>
            </w:tcBorders>
            <w:shd w:val="clear" w:color="auto" w:fill="auto"/>
            <w:noWrap/>
            <w:vAlign w:val="center"/>
            <w:hideMark/>
          </w:tcPr>
          <w:p w14:paraId="025F0482" w14:textId="77777777" w:rsidR="001B4284" w:rsidRPr="007466EF" w:rsidRDefault="001B4284" w:rsidP="001B4284">
            <w:pPr>
              <w:jc w:val="center"/>
              <w:rPr>
                <w:color w:val="000000"/>
                <w:sz w:val="16"/>
                <w:szCs w:val="16"/>
              </w:rPr>
            </w:pPr>
            <w:r w:rsidRPr="007466EF">
              <w:rPr>
                <w:color w:val="000000"/>
                <w:sz w:val="16"/>
                <w:szCs w:val="16"/>
              </w:rPr>
              <w:t>ZABA + PBZ</w:t>
            </w:r>
          </w:p>
        </w:tc>
        <w:tc>
          <w:tcPr>
            <w:tcW w:w="992" w:type="dxa"/>
            <w:tcBorders>
              <w:top w:val="nil"/>
              <w:left w:val="nil"/>
              <w:bottom w:val="single" w:sz="4" w:space="0" w:color="auto"/>
              <w:right w:val="single" w:sz="4" w:space="0" w:color="auto"/>
            </w:tcBorders>
            <w:shd w:val="clear" w:color="auto" w:fill="auto"/>
            <w:noWrap/>
            <w:vAlign w:val="center"/>
            <w:hideMark/>
          </w:tcPr>
          <w:p w14:paraId="123C8E40" w14:textId="77777777" w:rsidR="001B4284" w:rsidRPr="007466EF" w:rsidRDefault="001B4284" w:rsidP="001B4284">
            <w:pPr>
              <w:jc w:val="center"/>
              <w:rPr>
                <w:b/>
                <w:bCs/>
                <w:color w:val="000000"/>
                <w:sz w:val="16"/>
                <w:szCs w:val="16"/>
              </w:rPr>
            </w:pPr>
            <w:r w:rsidRPr="007466EF">
              <w:rPr>
                <w:b/>
                <w:bCs/>
                <w:color w:val="000000"/>
                <w:sz w:val="16"/>
                <w:szCs w:val="16"/>
              </w:rPr>
              <w:t>EUR</w:t>
            </w:r>
          </w:p>
        </w:tc>
        <w:tc>
          <w:tcPr>
            <w:tcW w:w="1354" w:type="dxa"/>
            <w:tcBorders>
              <w:top w:val="nil"/>
              <w:left w:val="nil"/>
              <w:bottom w:val="single" w:sz="4" w:space="0" w:color="auto"/>
              <w:right w:val="single" w:sz="8" w:space="0" w:color="auto"/>
            </w:tcBorders>
            <w:shd w:val="clear" w:color="auto" w:fill="auto"/>
            <w:noWrap/>
            <w:vAlign w:val="center"/>
            <w:hideMark/>
          </w:tcPr>
          <w:p w14:paraId="3829E85F" w14:textId="77777777" w:rsidR="001B4284" w:rsidRPr="007466EF" w:rsidRDefault="001B4284" w:rsidP="001B4284">
            <w:pPr>
              <w:jc w:val="right"/>
              <w:rPr>
                <w:sz w:val="16"/>
                <w:szCs w:val="16"/>
              </w:rPr>
            </w:pPr>
            <w:r w:rsidRPr="007466EF">
              <w:rPr>
                <w:sz w:val="16"/>
                <w:szCs w:val="16"/>
              </w:rPr>
              <w:t>0,00</w:t>
            </w:r>
          </w:p>
        </w:tc>
      </w:tr>
      <w:tr w:rsidR="001B4284" w:rsidRPr="007466EF" w14:paraId="0ADA583E" w14:textId="77777777" w:rsidTr="000F0D22">
        <w:trPr>
          <w:trHeight w:val="300"/>
          <w:jc w:val="center"/>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19E5FA0F" w14:textId="77777777" w:rsidR="001B4284" w:rsidRPr="007466EF" w:rsidRDefault="001B4284" w:rsidP="001B4284">
            <w:pPr>
              <w:jc w:val="center"/>
              <w:rPr>
                <w:color w:val="000000"/>
                <w:sz w:val="16"/>
                <w:szCs w:val="16"/>
              </w:rPr>
            </w:pPr>
            <w:r w:rsidRPr="007466EF">
              <w:rPr>
                <w:color w:val="000000"/>
                <w:sz w:val="16"/>
                <w:szCs w:val="16"/>
              </w:rPr>
              <w:lastRenderedPageBreak/>
              <w:t>3.</w:t>
            </w:r>
          </w:p>
        </w:tc>
        <w:tc>
          <w:tcPr>
            <w:tcW w:w="2127" w:type="dxa"/>
            <w:tcBorders>
              <w:top w:val="nil"/>
              <w:left w:val="nil"/>
              <w:bottom w:val="single" w:sz="4" w:space="0" w:color="auto"/>
              <w:right w:val="single" w:sz="4" w:space="0" w:color="auto"/>
            </w:tcBorders>
            <w:shd w:val="clear" w:color="auto" w:fill="auto"/>
            <w:noWrap/>
            <w:vAlign w:val="center"/>
            <w:hideMark/>
          </w:tcPr>
          <w:p w14:paraId="26B6E05A" w14:textId="77777777" w:rsidR="001B4284" w:rsidRPr="007466EF" w:rsidRDefault="001B4284" w:rsidP="001B4284">
            <w:pPr>
              <w:rPr>
                <w:color w:val="000000"/>
                <w:sz w:val="16"/>
                <w:szCs w:val="16"/>
              </w:rPr>
            </w:pPr>
            <w:r w:rsidRPr="007466EF">
              <w:rPr>
                <w:color w:val="000000"/>
                <w:sz w:val="16"/>
                <w:szCs w:val="16"/>
              </w:rPr>
              <w:t>Sveučilište u Osijeku</w:t>
            </w:r>
          </w:p>
        </w:tc>
        <w:tc>
          <w:tcPr>
            <w:tcW w:w="1417" w:type="dxa"/>
            <w:tcBorders>
              <w:top w:val="nil"/>
              <w:left w:val="nil"/>
              <w:bottom w:val="single" w:sz="4" w:space="0" w:color="auto"/>
              <w:right w:val="single" w:sz="4" w:space="0" w:color="auto"/>
            </w:tcBorders>
            <w:shd w:val="clear" w:color="auto" w:fill="auto"/>
            <w:noWrap/>
            <w:vAlign w:val="center"/>
            <w:hideMark/>
          </w:tcPr>
          <w:p w14:paraId="50C99A6F" w14:textId="77777777" w:rsidR="001B4284" w:rsidRPr="007466EF" w:rsidRDefault="001B4284" w:rsidP="001B4284">
            <w:pPr>
              <w:jc w:val="center"/>
              <w:rPr>
                <w:color w:val="000000"/>
                <w:sz w:val="16"/>
                <w:szCs w:val="16"/>
              </w:rPr>
            </w:pPr>
            <w:proofErr w:type="spellStart"/>
            <w:r w:rsidRPr="007466EF">
              <w:rPr>
                <w:color w:val="000000"/>
                <w:sz w:val="16"/>
                <w:szCs w:val="16"/>
              </w:rPr>
              <w:t>Addiko</w:t>
            </w:r>
            <w:proofErr w:type="spellEnd"/>
            <w:r w:rsidRPr="007466EF">
              <w:rPr>
                <w:color w:val="000000"/>
                <w:sz w:val="16"/>
                <w:szCs w:val="16"/>
              </w:rPr>
              <w:t xml:space="preserve"> Bank</w:t>
            </w:r>
          </w:p>
        </w:tc>
        <w:tc>
          <w:tcPr>
            <w:tcW w:w="992" w:type="dxa"/>
            <w:tcBorders>
              <w:top w:val="nil"/>
              <w:left w:val="nil"/>
              <w:bottom w:val="single" w:sz="4" w:space="0" w:color="auto"/>
              <w:right w:val="single" w:sz="4" w:space="0" w:color="auto"/>
            </w:tcBorders>
            <w:shd w:val="clear" w:color="auto" w:fill="auto"/>
            <w:noWrap/>
            <w:vAlign w:val="center"/>
            <w:hideMark/>
          </w:tcPr>
          <w:p w14:paraId="613687F0" w14:textId="77777777" w:rsidR="001B4284" w:rsidRPr="007466EF" w:rsidRDefault="001B4284" w:rsidP="001B4284">
            <w:pPr>
              <w:jc w:val="center"/>
              <w:rPr>
                <w:b/>
                <w:bCs/>
                <w:color w:val="000000"/>
                <w:sz w:val="16"/>
                <w:szCs w:val="16"/>
              </w:rPr>
            </w:pPr>
            <w:r w:rsidRPr="007466EF">
              <w:rPr>
                <w:b/>
                <w:bCs/>
                <w:color w:val="000000"/>
                <w:sz w:val="16"/>
                <w:szCs w:val="16"/>
              </w:rPr>
              <w:t>EUR</w:t>
            </w:r>
          </w:p>
        </w:tc>
        <w:tc>
          <w:tcPr>
            <w:tcW w:w="1354" w:type="dxa"/>
            <w:tcBorders>
              <w:top w:val="nil"/>
              <w:left w:val="nil"/>
              <w:bottom w:val="single" w:sz="4" w:space="0" w:color="auto"/>
              <w:right w:val="single" w:sz="8" w:space="0" w:color="auto"/>
            </w:tcBorders>
            <w:shd w:val="clear" w:color="auto" w:fill="auto"/>
            <w:noWrap/>
            <w:vAlign w:val="center"/>
            <w:hideMark/>
          </w:tcPr>
          <w:p w14:paraId="0409E672" w14:textId="77777777" w:rsidR="001B4284" w:rsidRPr="007466EF" w:rsidRDefault="001B4284" w:rsidP="001B4284">
            <w:pPr>
              <w:jc w:val="right"/>
              <w:rPr>
                <w:sz w:val="16"/>
                <w:szCs w:val="16"/>
              </w:rPr>
            </w:pPr>
            <w:r w:rsidRPr="007466EF">
              <w:rPr>
                <w:sz w:val="16"/>
                <w:szCs w:val="16"/>
              </w:rPr>
              <w:t>2.889.151,53</w:t>
            </w:r>
          </w:p>
        </w:tc>
      </w:tr>
      <w:tr w:rsidR="001B4284" w:rsidRPr="007466EF" w14:paraId="20F49792" w14:textId="77777777" w:rsidTr="000F0D22">
        <w:trPr>
          <w:trHeight w:val="300"/>
          <w:jc w:val="center"/>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7577F82B" w14:textId="77777777" w:rsidR="001B4284" w:rsidRPr="007466EF" w:rsidRDefault="001B4284" w:rsidP="001B4284">
            <w:pPr>
              <w:jc w:val="center"/>
              <w:rPr>
                <w:color w:val="000000"/>
                <w:sz w:val="16"/>
                <w:szCs w:val="16"/>
              </w:rPr>
            </w:pPr>
            <w:r w:rsidRPr="007466EF">
              <w:rPr>
                <w:color w:val="000000"/>
                <w:sz w:val="16"/>
                <w:szCs w:val="16"/>
              </w:rPr>
              <w:t>4.</w:t>
            </w:r>
          </w:p>
        </w:tc>
        <w:tc>
          <w:tcPr>
            <w:tcW w:w="2127" w:type="dxa"/>
            <w:tcBorders>
              <w:top w:val="nil"/>
              <w:left w:val="nil"/>
              <w:bottom w:val="single" w:sz="4" w:space="0" w:color="auto"/>
              <w:right w:val="single" w:sz="4" w:space="0" w:color="auto"/>
            </w:tcBorders>
            <w:shd w:val="clear" w:color="auto" w:fill="auto"/>
            <w:noWrap/>
            <w:vAlign w:val="center"/>
            <w:hideMark/>
          </w:tcPr>
          <w:p w14:paraId="16788BED" w14:textId="77777777" w:rsidR="001B4284" w:rsidRPr="007466EF" w:rsidRDefault="001B4284" w:rsidP="001B4284">
            <w:pPr>
              <w:rPr>
                <w:color w:val="000000"/>
                <w:sz w:val="16"/>
                <w:szCs w:val="16"/>
              </w:rPr>
            </w:pPr>
            <w:r w:rsidRPr="007466EF">
              <w:rPr>
                <w:color w:val="000000"/>
                <w:sz w:val="16"/>
                <w:szCs w:val="16"/>
              </w:rPr>
              <w:t>Sveučilište u Zagrebu</w:t>
            </w:r>
          </w:p>
        </w:tc>
        <w:tc>
          <w:tcPr>
            <w:tcW w:w="1417" w:type="dxa"/>
            <w:tcBorders>
              <w:top w:val="nil"/>
              <w:left w:val="nil"/>
              <w:bottom w:val="single" w:sz="4" w:space="0" w:color="auto"/>
              <w:right w:val="single" w:sz="4" w:space="0" w:color="auto"/>
            </w:tcBorders>
            <w:shd w:val="clear" w:color="auto" w:fill="auto"/>
            <w:noWrap/>
            <w:vAlign w:val="center"/>
            <w:hideMark/>
          </w:tcPr>
          <w:p w14:paraId="299CB1C8" w14:textId="77777777" w:rsidR="001B4284" w:rsidRPr="007466EF" w:rsidRDefault="001B4284" w:rsidP="001B4284">
            <w:pPr>
              <w:jc w:val="center"/>
              <w:rPr>
                <w:color w:val="000000"/>
                <w:sz w:val="16"/>
                <w:szCs w:val="16"/>
              </w:rPr>
            </w:pPr>
            <w:r w:rsidRPr="007466EF">
              <w:rPr>
                <w:color w:val="000000"/>
                <w:sz w:val="16"/>
                <w:szCs w:val="16"/>
              </w:rPr>
              <w:t>PBZ</w:t>
            </w:r>
          </w:p>
        </w:tc>
        <w:tc>
          <w:tcPr>
            <w:tcW w:w="992" w:type="dxa"/>
            <w:tcBorders>
              <w:top w:val="nil"/>
              <w:left w:val="nil"/>
              <w:bottom w:val="single" w:sz="4" w:space="0" w:color="auto"/>
              <w:right w:val="single" w:sz="4" w:space="0" w:color="auto"/>
            </w:tcBorders>
            <w:shd w:val="clear" w:color="auto" w:fill="auto"/>
            <w:noWrap/>
            <w:vAlign w:val="center"/>
            <w:hideMark/>
          </w:tcPr>
          <w:p w14:paraId="7B5CFF59" w14:textId="77777777" w:rsidR="001B4284" w:rsidRPr="007466EF" w:rsidRDefault="001B4284" w:rsidP="001B4284">
            <w:pPr>
              <w:jc w:val="center"/>
              <w:rPr>
                <w:b/>
                <w:bCs/>
                <w:color w:val="000000"/>
                <w:sz w:val="16"/>
                <w:szCs w:val="16"/>
              </w:rPr>
            </w:pPr>
            <w:r w:rsidRPr="007466EF">
              <w:rPr>
                <w:b/>
                <w:bCs/>
                <w:color w:val="000000"/>
                <w:sz w:val="16"/>
                <w:szCs w:val="16"/>
              </w:rPr>
              <w:t>EUR</w:t>
            </w:r>
          </w:p>
        </w:tc>
        <w:tc>
          <w:tcPr>
            <w:tcW w:w="1354" w:type="dxa"/>
            <w:tcBorders>
              <w:top w:val="nil"/>
              <w:left w:val="nil"/>
              <w:bottom w:val="single" w:sz="4" w:space="0" w:color="auto"/>
              <w:right w:val="single" w:sz="8" w:space="0" w:color="auto"/>
            </w:tcBorders>
            <w:shd w:val="clear" w:color="auto" w:fill="auto"/>
            <w:noWrap/>
            <w:vAlign w:val="center"/>
            <w:hideMark/>
          </w:tcPr>
          <w:p w14:paraId="39BCF44A" w14:textId="77777777" w:rsidR="001B4284" w:rsidRPr="007466EF" w:rsidRDefault="001B4284" w:rsidP="001B4284">
            <w:pPr>
              <w:jc w:val="right"/>
              <w:rPr>
                <w:sz w:val="16"/>
                <w:szCs w:val="16"/>
              </w:rPr>
            </w:pPr>
            <w:r w:rsidRPr="007466EF">
              <w:rPr>
                <w:sz w:val="16"/>
                <w:szCs w:val="16"/>
              </w:rPr>
              <w:t>0,00</w:t>
            </w:r>
          </w:p>
        </w:tc>
      </w:tr>
      <w:tr w:rsidR="001B4284" w:rsidRPr="007466EF" w14:paraId="11BD642F" w14:textId="77777777" w:rsidTr="000F0D22">
        <w:trPr>
          <w:trHeight w:val="315"/>
          <w:jc w:val="center"/>
        </w:trPr>
        <w:tc>
          <w:tcPr>
            <w:tcW w:w="1134" w:type="dxa"/>
            <w:tcBorders>
              <w:top w:val="nil"/>
              <w:left w:val="single" w:sz="8" w:space="0" w:color="auto"/>
              <w:bottom w:val="nil"/>
              <w:right w:val="single" w:sz="4" w:space="0" w:color="auto"/>
            </w:tcBorders>
            <w:shd w:val="clear" w:color="auto" w:fill="auto"/>
            <w:noWrap/>
            <w:vAlign w:val="center"/>
            <w:hideMark/>
          </w:tcPr>
          <w:p w14:paraId="626789F6" w14:textId="77777777" w:rsidR="001B4284" w:rsidRPr="007466EF" w:rsidRDefault="001B4284" w:rsidP="001B4284">
            <w:pPr>
              <w:jc w:val="center"/>
              <w:rPr>
                <w:color w:val="000000"/>
                <w:sz w:val="16"/>
                <w:szCs w:val="16"/>
              </w:rPr>
            </w:pPr>
            <w:r w:rsidRPr="007466EF">
              <w:rPr>
                <w:color w:val="000000"/>
                <w:sz w:val="16"/>
                <w:szCs w:val="16"/>
              </w:rPr>
              <w:t>5.</w:t>
            </w:r>
          </w:p>
        </w:tc>
        <w:tc>
          <w:tcPr>
            <w:tcW w:w="2127" w:type="dxa"/>
            <w:tcBorders>
              <w:top w:val="nil"/>
              <w:left w:val="nil"/>
              <w:bottom w:val="nil"/>
              <w:right w:val="single" w:sz="4" w:space="0" w:color="auto"/>
            </w:tcBorders>
            <w:shd w:val="clear" w:color="auto" w:fill="auto"/>
            <w:noWrap/>
            <w:vAlign w:val="center"/>
            <w:hideMark/>
          </w:tcPr>
          <w:p w14:paraId="39249EF9" w14:textId="77777777" w:rsidR="001B4284" w:rsidRPr="007466EF" w:rsidRDefault="001B4284" w:rsidP="001B4284">
            <w:pPr>
              <w:rPr>
                <w:color w:val="000000"/>
                <w:sz w:val="16"/>
                <w:szCs w:val="16"/>
              </w:rPr>
            </w:pPr>
            <w:r w:rsidRPr="007466EF">
              <w:rPr>
                <w:color w:val="000000"/>
                <w:sz w:val="16"/>
                <w:szCs w:val="16"/>
              </w:rPr>
              <w:t>Sveučilište u Dubrovniku</w:t>
            </w:r>
          </w:p>
        </w:tc>
        <w:tc>
          <w:tcPr>
            <w:tcW w:w="1417" w:type="dxa"/>
            <w:tcBorders>
              <w:top w:val="nil"/>
              <w:left w:val="nil"/>
              <w:bottom w:val="nil"/>
              <w:right w:val="single" w:sz="4" w:space="0" w:color="auto"/>
            </w:tcBorders>
            <w:shd w:val="clear" w:color="auto" w:fill="auto"/>
            <w:noWrap/>
            <w:vAlign w:val="center"/>
            <w:hideMark/>
          </w:tcPr>
          <w:p w14:paraId="4CF392EB" w14:textId="77777777" w:rsidR="001B4284" w:rsidRPr="007466EF" w:rsidRDefault="001B4284" w:rsidP="001B4284">
            <w:pPr>
              <w:jc w:val="center"/>
              <w:rPr>
                <w:color w:val="000000"/>
                <w:sz w:val="16"/>
                <w:szCs w:val="16"/>
              </w:rPr>
            </w:pPr>
            <w:r w:rsidRPr="007466EF">
              <w:rPr>
                <w:color w:val="000000"/>
                <w:sz w:val="16"/>
                <w:szCs w:val="16"/>
              </w:rPr>
              <w:t>ZABA</w:t>
            </w:r>
          </w:p>
        </w:tc>
        <w:tc>
          <w:tcPr>
            <w:tcW w:w="992" w:type="dxa"/>
            <w:tcBorders>
              <w:top w:val="nil"/>
              <w:left w:val="nil"/>
              <w:bottom w:val="single" w:sz="4" w:space="0" w:color="auto"/>
              <w:right w:val="single" w:sz="4" w:space="0" w:color="auto"/>
            </w:tcBorders>
            <w:shd w:val="clear" w:color="auto" w:fill="auto"/>
            <w:noWrap/>
            <w:vAlign w:val="center"/>
            <w:hideMark/>
          </w:tcPr>
          <w:p w14:paraId="375820C1" w14:textId="77777777" w:rsidR="001B4284" w:rsidRPr="007466EF" w:rsidRDefault="001B4284" w:rsidP="001B4284">
            <w:pPr>
              <w:jc w:val="center"/>
              <w:rPr>
                <w:b/>
                <w:bCs/>
                <w:color w:val="000000"/>
                <w:sz w:val="16"/>
                <w:szCs w:val="16"/>
              </w:rPr>
            </w:pPr>
            <w:r w:rsidRPr="007466EF">
              <w:rPr>
                <w:b/>
                <w:bCs/>
                <w:color w:val="000000"/>
                <w:sz w:val="16"/>
                <w:szCs w:val="16"/>
              </w:rPr>
              <w:t>EUR</w:t>
            </w:r>
          </w:p>
        </w:tc>
        <w:tc>
          <w:tcPr>
            <w:tcW w:w="1354" w:type="dxa"/>
            <w:tcBorders>
              <w:top w:val="nil"/>
              <w:left w:val="nil"/>
              <w:bottom w:val="single" w:sz="4" w:space="0" w:color="auto"/>
              <w:right w:val="single" w:sz="8" w:space="0" w:color="auto"/>
            </w:tcBorders>
            <w:shd w:val="clear" w:color="auto" w:fill="auto"/>
            <w:noWrap/>
            <w:vAlign w:val="center"/>
            <w:hideMark/>
          </w:tcPr>
          <w:p w14:paraId="4AED6EB8" w14:textId="77777777" w:rsidR="001B4284" w:rsidRPr="007466EF" w:rsidRDefault="001B4284" w:rsidP="001B4284">
            <w:pPr>
              <w:jc w:val="right"/>
              <w:rPr>
                <w:sz w:val="16"/>
                <w:szCs w:val="16"/>
              </w:rPr>
            </w:pPr>
            <w:r w:rsidRPr="007466EF">
              <w:rPr>
                <w:sz w:val="16"/>
                <w:szCs w:val="16"/>
              </w:rPr>
              <w:t>0</w:t>
            </w:r>
          </w:p>
        </w:tc>
      </w:tr>
      <w:tr w:rsidR="001B4284" w:rsidRPr="007466EF" w14:paraId="702C2512" w14:textId="77777777" w:rsidTr="000F0D22">
        <w:trPr>
          <w:trHeight w:val="315"/>
          <w:jc w:val="center"/>
        </w:trPr>
        <w:tc>
          <w:tcPr>
            <w:tcW w:w="5670" w:type="dxa"/>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29B922A9" w14:textId="77777777" w:rsidR="001B4284" w:rsidRPr="007466EF" w:rsidRDefault="001B4284" w:rsidP="001B4284">
            <w:pPr>
              <w:jc w:val="center"/>
              <w:rPr>
                <w:b/>
                <w:bCs/>
                <w:color w:val="000000"/>
                <w:sz w:val="16"/>
                <w:szCs w:val="16"/>
              </w:rPr>
            </w:pPr>
            <w:r w:rsidRPr="007466EF">
              <w:rPr>
                <w:b/>
                <w:bCs/>
                <w:color w:val="000000"/>
                <w:sz w:val="16"/>
                <w:szCs w:val="16"/>
              </w:rPr>
              <w:t> </w:t>
            </w:r>
          </w:p>
        </w:tc>
        <w:tc>
          <w:tcPr>
            <w:tcW w:w="1354" w:type="dxa"/>
            <w:tcBorders>
              <w:top w:val="single" w:sz="8" w:space="0" w:color="auto"/>
              <w:left w:val="nil"/>
              <w:bottom w:val="single" w:sz="8" w:space="0" w:color="auto"/>
              <w:right w:val="single" w:sz="8" w:space="0" w:color="auto"/>
            </w:tcBorders>
            <w:shd w:val="clear" w:color="auto" w:fill="auto"/>
            <w:noWrap/>
            <w:vAlign w:val="center"/>
            <w:hideMark/>
          </w:tcPr>
          <w:p w14:paraId="3E738117" w14:textId="77777777" w:rsidR="001B4284" w:rsidRPr="007466EF" w:rsidRDefault="001B4284" w:rsidP="001B4284">
            <w:pPr>
              <w:jc w:val="right"/>
              <w:rPr>
                <w:b/>
                <w:bCs/>
                <w:sz w:val="16"/>
                <w:szCs w:val="16"/>
              </w:rPr>
            </w:pPr>
            <w:r w:rsidRPr="007466EF">
              <w:rPr>
                <w:b/>
                <w:bCs/>
                <w:sz w:val="16"/>
                <w:szCs w:val="16"/>
              </w:rPr>
              <w:t>3.537.904,29</w:t>
            </w:r>
          </w:p>
        </w:tc>
      </w:tr>
    </w:tbl>
    <w:p w14:paraId="68971BF2" w14:textId="77777777" w:rsidR="001B4284" w:rsidRPr="00FB0E6E" w:rsidRDefault="001B4284" w:rsidP="00FB0E6E">
      <w:pPr>
        <w:jc w:val="both"/>
      </w:pPr>
    </w:p>
    <w:p w14:paraId="08180F39" w14:textId="77777777" w:rsidR="001B4284" w:rsidRPr="00455D43" w:rsidRDefault="001B4284" w:rsidP="001B4284">
      <w:pPr>
        <w:keepNext/>
        <w:jc w:val="center"/>
        <w:rPr>
          <w:bCs/>
          <w:sz w:val="28"/>
          <w:szCs w:val="28"/>
        </w:rPr>
      </w:pPr>
      <w:r w:rsidRPr="00455D43">
        <w:rPr>
          <w:bCs/>
          <w:sz w:val="28"/>
          <w:szCs w:val="28"/>
        </w:rPr>
        <w:t>Bilješka 25.</w:t>
      </w:r>
    </w:p>
    <w:p w14:paraId="1E0CBE4C" w14:textId="77777777" w:rsidR="001B4284" w:rsidRPr="00455D43" w:rsidRDefault="001B4284" w:rsidP="001B4284">
      <w:pPr>
        <w:keepNext/>
        <w:jc w:val="center"/>
        <w:rPr>
          <w:bCs/>
          <w:sz w:val="28"/>
          <w:szCs w:val="28"/>
        </w:rPr>
      </w:pPr>
      <w:r w:rsidRPr="00455D43">
        <w:rPr>
          <w:bCs/>
          <w:sz w:val="28"/>
          <w:szCs w:val="28"/>
        </w:rPr>
        <w:t>Šifra 2613 Obveze za zajmove od međunarodnih organizacija</w:t>
      </w:r>
    </w:p>
    <w:p w14:paraId="69ED331D" w14:textId="03EFBD62" w:rsidR="001B4284" w:rsidRPr="00455D43" w:rsidRDefault="001B4284" w:rsidP="001B4284">
      <w:pPr>
        <w:jc w:val="both"/>
        <w:rPr>
          <w:bCs/>
          <w:szCs w:val="28"/>
        </w:rPr>
      </w:pPr>
      <w:r w:rsidRPr="00455D43">
        <w:rPr>
          <w:bCs/>
          <w:szCs w:val="28"/>
        </w:rPr>
        <w:t xml:space="preserve">Obveze za zajmove od međunarodnih organizacija na dan 31. prosinca 2024. </w:t>
      </w:r>
      <w:r w:rsidR="00455D43" w:rsidRPr="00455D43">
        <w:rPr>
          <w:bCs/>
          <w:szCs w:val="28"/>
        </w:rPr>
        <w:t>iskazane su u iznosu od 1.259.75</w:t>
      </w:r>
      <w:r w:rsidRPr="00455D43">
        <w:rPr>
          <w:bCs/>
          <w:szCs w:val="28"/>
        </w:rPr>
        <w:t>5.336,03 eura. Analitički prikaz zajmova od međunarodnih organizacija sa stanjem na dan 31. prosinca 2024. daje se u Tablici 12.</w:t>
      </w:r>
    </w:p>
    <w:p w14:paraId="4BCEC0A4" w14:textId="77777777" w:rsidR="001B4284" w:rsidRPr="00455D43" w:rsidRDefault="001B4284" w:rsidP="001B4284">
      <w:pPr>
        <w:jc w:val="both"/>
        <w:rPr>
          <w:bCs/>
          <w:szCs w:val="28"/>
        </w:rPr>
      </w:pPr>
    </w:p>
    <w:p w14:paraId="55C13D00" w14:textId="77777777" w:rsidR="001B4284" w:rsidRPr="00455D43" w:rsidRDefault="001B4284" w:rsidP="001B4284">
      <w:pPr>
        <w:keepNext/>
        <w:jc w:val="both"/>
        <w:rPr>
          <w:b/>
          <w:sz w:val="20"/>
          <w:szCs w:val="20"/>
        </w:rPr>
      </w:pPr>
      <w:r w:rsidRPr="00455D43">
        <w:rPr>
          <w:b/>
          <w:sz w:val="20"/>
          <w:szCs w:val="20"/>
        </w:rPr>
        <w:t>Tablica 12. Prikaz obveza za zajmove od međunarodnih organizacija</w:t>
      </w:r>
    </w:p>
    <w:tbl>
      <w:tblPr>
        <w:tblW w:w="9351" w:type="dxa"/>
        <w:jc w:val="right"/>
        <w:tblLook w:val="04A0" w:firstRow="1" w:lastRow="0" w:firstColumn="1" w:lastColumn="0" w:noHBand="0" w:noVBand="1"/>
      </w:tblPr>
      <w:tblGrid>
        <w:gridCol w:w="996"/>
        <w:gridCol w:w="4678"/>
        <w:gridCol w:w="884"/>
        <w:gridCol w:w="910"/>
        <w:gridCol w:w="1883"/>
      </w:tblGrid>
      <w:tr w:rsidR="001B4284" w:rsidRPr="00455D43" w14:paraId="6156D806" w14:textId="77777777" w:rsidTr="000F0D22">
        <w:trPr>
          <w:trHeight w:val="945"/>
          <w:jc w:val="right"/>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E18A4" w14:textId="77777777" w:rsidR="001B4284" w:rsidRPr="00455D43" w:rsidRDefault="001B4284" w:rsidP="001B4284">
            <w:pPr>
              <w:jc w:val="center"/>
              <w:rPr>
                <w:b/>
                <w:bCs/>
                <w:sz w:val="20"/>
                <w:szCs w:val="20"/>
              </w:rPr>
            </w:pPr>
            <w:r w:rsidRPr="00455D43">
              <w:rPr>
                <w:b/>
                <w:bCs/>
                <w:sz w:val="20"/>
                <w:szCs w:val="20"/>
              </w:rPr>
              <w:t>Red. broj</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5C143E24" w14:textId="77777777" w:rsidR="001B4284" w:rsidRPr="00455D43" w:rsidRDefault="001B4284" w:rsidP="001B4284">
            <w:pPr>
              <w:jc w:val="center"/>
              <w:rPr>
                <w:b/>
                <w:bCs/>
                <w:sz w:val="20"/>
                <w:szCs w:val="20"/>
              </w:rPr>
            </w:pPr>
            <w:r w:rsidRPr="00455D43">
              <w:rPr>
                <w:b/>
                <w:bCs/>
                <w:sz w:val="20"/>
                <w:szCs w:val="20"/>
              </w:rPr>
              <w:t>Namjena</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0FA0E0F2" w14:textId="77777777" w:rsidR="001B4284" w:rsidRPr="00455D43" w:rsidRDefault="001B4284" w:rsidP="001B4284">
            <w:pPr>
              <w:jc w:val="center"/>
              <w:rPr>
                <w:b/>
                <w:bCs/>
                <w:sz w:val="20"/>
                <w:szCs w:val="20"/>
              </w:rPr>
            </w:pPr>
            <w:r w:rsidRPr="00455D43">
              <w:rPr>
                <w:b/>
                <w:bCs/>
                <w:sz w:val="20"/>
                <w:szCs w:val="20"/>
              </w:rPr>
              <w:t>Banka</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9E24CAD" w14:textId="77777777" w:rsidR="001B4284" w:rsidRPr="00455D43" w:rsidRDefault="001B4284" w:rsidP="001B4284">
            <w:pPr>
              <w:jc w:val="center"/>
              <w:rPr>
                <w:b/>
                <w:bCs/>
                <w:sz w:val="20"/>
                <w:szCs w:val="20"/>
              </w:rPr>
            </w:pPr>
            <w:r w:rsidRPr="00455D43">
              <w:rPr>
                <w:b/>
                <w:bCs/>
                <w:sz w:val="20"/>
                <w:szCs w:val="20"/>
              </w:rPr>
              <w:t>Valuta</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14:paraId="69A45B7E" w14:textId="77777777" w:rsidR="001B4284" w:rsidRPr="00455D43" w:rsidRDefault="001B4284" w:rsidP="001B4284">
            <w:pPr>
              <w:jc w:val="center"/>
              <w:rPr>
                <w:b/>
                <w:bCs/>
                <w:sz w:val="20"/>
                <w:szCs w:val="20"/>
              </w:rPr>
            </w:pPr>
            <w:r w:rsidRPr="00455D43">
              <w:rPr>
                <w:b/>
                <w:bCs/>
                <w:sz w:val="20"/>
                <w:szCs w:val="20"/>
              </w:rPr>
              <w:t xml:space="preserve">Stanje obveza na 31.12.2023.              </w:t>
            </w:r>
          </w:p>
        </w:tc>
      </w:tr>
      <w:tr w:rsidR="001B4284" w:rsidRPr="00455D43" w14:paraId="20FFBD3B" w14:textId="77777777" w:rsidTr="000F0D22">
        <w:trPr>
          <w:trHeight w:val="30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BAA438E" w14:textId="77777777" w:rsidR="001B4284" w:rsidRPr="00455D43" w:rsidRDefault="001B4284" w:rsidP="001B4284">
            <w:pPr>
              <w:jc w:val="center"/>
              <w:rPr>
                <w:sz w:val="18"/>
                <w:szCs w:val="18"/>
              </w:rPr>
            </w:pPr>
            <w:r w:rsidRPr="00455D43">
              <w:rPr>
                <w:sz w:val="18"/>
                <w:szCs w:val="18"/>
              </w:rPr>
              <w:t>1.</w:t>
            </w:r>
          </w:p>
        </w:tc>
        <w:tc>
          <w:tcPr>
            <w:tcW w:w="4678" w:type="dxa"/>
            <w:tcBorders>
              <w:top w:val="nil"/>
              <w:left w:val="nil"/>
              <w:bottom w:val="single" w:sz="4" w:space="0" w:color="auto"/>
              <w:right w:val="single" w:sz="4" w:space="0" w:color="auto"/>
            </w:tcBorders>
            <w:shd w:val="clear" w:color="auto" w:fill="auto"/>
            <w:noWrap/>
            <w:vAlign w:val="center"/>
            <w:hideMark/>
          </w:tcPr>
          <w:p w14:paraId="2DEE9593" w14:textId="77777777" w:rsidR="001B4284" w:rsidRPr="00455D43" w:rsidRDefault="001B4284" w:rsidP="001B4284">
            <w:pPr>
              <w:rPr>
                <w:color w:val="000000"/>
                <w:sz w:val="18"/>
                <w:szCs w:val="18"/>
              </w:rPr>
            </w:pPr>
            <w:r w:rsidRPr="00455D43">
              <w:rPr>
                <w:color w:val="000000"/>
                <w:sz w:val="18"/>
                <w:szCs w:val="18"/>
              </w:rPr>
              <w:t>F/P 01351-003-001 - Projekt obnove zdravstvene infrastrukture</w:t>
            </w:r>
          </w:p>
        </w:tc>
        <w:tc>
          <w:tcPr>
            <w:tcW w:w="884" w:type="dxa"/>
            <w:tcBorders>
              <w:top w:val="nil"/>
              <w:left w:val="nil"/>
              <w:bottom w:val="single" w:sz="4" w:space="0" w:color="auto"/>
              <w:right w:val="single" w:sz="4" w:space="0" w:color="auto"/>
            </w:tcBorders>
            <w:shd w:val="clear" w:color="auto" w:fill="auto"/>
            <w:noWrap/>
            <w:vAlign w:val="center"/>
            <w:hideMark/>
          </w:tcPr>
          <w:p w14:paraId="34ECECF6"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004B7AEE"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6AB79C9A" w14:textId="77777777" w:rsidR="001B4284" w:rsidRPr="00455D43" w:rsidRDefault="001B4284" w:rsidP="001B4284">
            <w:pPr>
              <w:jc w:val="right"/>
              <w:rPr>
                <w:color w:val="000000"/>
                <w:sz w:val="18"/>
                <w:szCs w:val="18"/>
              </w:rPr>
            </w:pPr>
            <w:r w:rsidRPr="00455D43">
              <w:rPr>
                <w:color w:val="000000"/>
                <w:sz w:val="18"/>
                <w:szCs w:val="18"/>
              </w:rPr>
              <w:t>0,00</w:t>
            </w:r>
          </w:p>
        </w:tc>
      </w:tr>
      <w:tr w:rsidR="001B4284" w:rsidRPr="00455D43" w14:paraId="593293F8" w14:textId="77777777" w:rsidTr="000F0D22">
        <w:trPr>
          <w:trHeight w:val="30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E0B36E9" w14:textId="77777777" w:rsidR="001B4284" w:rsidRPr="00455D43" w:rsidRDefault="001B4284" w:rsidP="001B4284">
            <w:pPr>
              <w:jc w:val="center"/>
              <w:rPr>
                <w:sz w:val="18"/>
                <w:szCs w:val="18"/>
              </w:rPr>
            </w:pPr>
            <w:r w:rsidRPr="00455D43">
              <w:rPr>
                <w:sz w:val="18"/>
                <w:szCs w:val="18"/>
              </w:rPr>
              <w:t>2.</w:t>
            </w:r>
          </w:p>
        </w:tc>
        <w:tc>
          <w:tcPr>
            <w:tcW w:w="4678" w:type="dxa"/>
            <w:tcBorders>
              <w:top w:val="nil"/>
              <w:left w:val="nil"/>
              <w:bottom w:val="single" w:sz="4" w:space="0" w:color="auto"/>
              <w:right w:val="single" w:sz="4" w:space="0" w:color="auto"/>
            </w:tcBorders>
            <w:shd w:val="clear" w:color="auto" w:fill="auto"/>
            <w:noWrap/>
            <w:vAlign w:val="center"/>
            <w:hideMark/>
          </w:tcPr>
          <w:p w14:paraId="5F463E24" w14:textId="77777777" w:rsidR="001B4284" w:rsidRPr="00455D43" w:rsidRDefault="001B4284" w:rsidP="001B4284">
            <w:pPr>
              <w:rPr>
                <w:color w:val="000000"/>
                <w:sz w:val="18"/>
                <w:szCs w:val="18"/>
              </w:rPr>
            </w:pPr>
            <w:r w:rsidRPr="00455D43">
              <w:rPr>
                <w:color w:val="000000"/>
                <w:sz w:val="18"/>
                <w:szCs w:val="18"/>
              </w:rPr>
              <w:t>F/P 01456-004-001 - Projekt obnove i izgradnje školskih objekata u RH</w:t>
            </w:r>
          </w:p>
        </w:tc>
        <w:tc>
          <w:tcPr>
            <w:tcW w:w="884" w:type="dxa"/>
            <w:tcBorders>
              <w:top w:val="nil"/>
              <w:left w:val="nil"/>
              <w:bottom w:val="single" w:sz="4" w:space="0" w:color="auto"/>
              <w:right w:val="single" w:sz="4" w:space="0" w:color="auto"/>
            </w:tcBorders>
            <w:shd w:val="clear" w:color="auto" w:fill="auto"/>
            <w:noWrap/>
            <w:vAlign w:val="center"/>
            <w:hideMark/>
          </w:tcPr>
          <w:p w14:paraId="24CADF72"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15EACF44"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6C1E15AE" w14:textId="77777777" w:rsidR="001B4284" w:rsidRPr="00455D43" w:rsidRDefault="001B4284" w:rsidP="001B4284">
            <w:pPr>
              <w:jc w:val="right"/>
              <w:rPr>
                <w:color w:val="000000"/>
                <w:sz w:val="18"/>
                <w:szCs w:val="18"/>
              </w:rPr>
            </w:pPr>
            <w:r w:rsidRPr="00455D43">
              <w:rPr>
                <w:color w:val="000000"/>
                <w:sz w:val="18"/>
                <w:szCs w:val="18"/>
              </w:rPr>
              <w:t>503.560,00</w:t>
            </w:r>
          </w:p>
        </w:tc>
      </w:tr>
      <w:tr w:rsidR="001B4284" w:rsidRPr="00455D43" w14:paraId="1868B36C"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4637055" w14:textId="77777777" w:rsidR="001B4284" w:rsidRPr="00455D43" w:rsidRDefault="001B4284" w:rsidP="001B4284">
            <w:pPr>
              <w:jc w:val="center"/>
              <w:rPr>
                <w:sz w:val="18"/>
                <w:szCs w:val="18"/>
              </w:rPr>
            </w:pPr>
            <w:r w:rsidRPr="00455D43">
              <w:rPr>
                <w:sz w:val="18"/>
                <w:szCs w:val="18"/>
              </w:rPr>
              <w:t>3.</w:t>
            </w:r>
          </w:p>
        </w:tc>
        <w:tc>
          <w:tcPr>
            <w:tcW w:w="4678" w:type="dxa"/>
            <w:tcBorders>
              <w:top w:val="nil"/>
              <w:left w:val="nil"/>
              <w:bottom w:val="single" w:sz="4" w:space="0" w:color="auto"/>
              <w:right w:val="single" w:sz="4" w:space="0" w:color="auto"/>
            </w:tcBorders>
            <w:shd w:val="clear" w:color="auto" w:fill="auto"/>
            <w:vAlign w:val="center"/>
            <w:hideMark/>
          </w:tcPr>
          <w:p w14:paraId="75D91B2E" w14:textId="77777777" w:rsidR="001B4284" w:rsidRPr="00455D43" w:rsidRDefault="001B4284" w:rsidP="001B4284">
            <w:pPr>
              <w:rPr>
                <w:color w:val="000000"/>
                <w:sz w:val="18"/>
                <w:szCs w:val="18"/>
              </w:rPr>
            </w:pPr>
            <w:r w:rsidRPr="00455D43">
              <w:rPr>
                <w:color w:val="000000"/>
                <w:sz w:val="18"/>
                <w:szCs w:val="18"/>
              </w:rPr>
              <w:t>F/P 01498-004-002 - Projekt izgradnje objekata komunalne i društvene infrastrukture na hrv. otocima</w:t>
            </w:r>
          </w:p>
        </w:tc>
        <w:tc>
          <w:tcPr>
            <w:tcW w:w="884" w:type="dxa"/>
            <w:tcBorders>
              <w:top w:val="nil"/>
              <w:left w:val="nil"/>
              <w:bottom w:val="single" w:sz="4" w:space="0" w:color="auto"/>
              <w:right w:val="single" w:sz="4" w:space="0" w:color="auto"/>
            </w:tcBorders>
            <w:shd w:val="clear" w:color="auto" w:fill="auto"/>
            <w:noWrap/>
            <w:vAlign w:val="center"/>
            <w:hideMark/>
          </w:tcPr>
          <w:p w14:paraId="24F4BDA8"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5C1C98F1"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50243742" w14:textId="77777777" w:rsidR="001B4284" w:rsidRPr="00455D43" w:rsidRDefault="001B4284" w:rsidP="001B4284">
            <w:pPr>
              <w:jc w:val="right"/>
              <w:rPr>
                <w:color w:val="000000"/>
                <w:sz w:val="18"/>
                <w:szCs w:val="18"/>
              </w:rPr>
            </w:pPr>
            <w:r w:rsidRPr="00455D43">
              <w:rPr>
                <w:color w:val="000000"/>
                <w:sz w:val="18"/>
                <w:szCs w:val="18"/>
              </w:rPr>
              <w:t>771.600,00</w:t>
            </w:r>
          </w:p>
        </w:tc>
      </w:tr>
      <w:tr w:rsidR="001B4284" w:rsidRPr="00455D43" w14:paraId="16F5D9B0"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3B804EA" w14:textId="77777777" w:rsidR="001B4284" w:rsidRPr="00455D43" w:rsidRDefault="001B4284" w:rsidP="001B4284">
            <w:pPr>
              <w:jc w:val="center"/>
              <w:rPr>
                <w:sz w:val="18"/>
                <w:szCs w:val="18"/>
              </w:rPr>
            </w:pPr>
            <w:r w:rsidRPr="00455D43">
              <w:rPr>
                <w:sz w:val="18"/>
                <w:szCs w:val="18"/>
              </w:rPr>
              <w:t>4.</w:t>
            </w:r>
          </w:p>
        </w:tc>
        <w:tc>
          <w:tcPr>
            <w:tcW w:w="4678" w:type="dxa"/>
            <w:tcBorders>
              <w:top w:val="nil"/>
              <w:left w:val="nil"/>
              <w:bottom w:val="single" w:sz="4" w:space="0" w:color="auto"/>
              <w:right w:val="single" w:sz="4" w:space="0" w:color="auto"/>
            </w:tcBorders>
            <w:shd w:val="clear" w:color="auto" w:fill="auto"/>
            <w:vAlign w:val="center"/>
            <w:hideMark/>
          </w:tcPr>
          <w:p w14:paraId="45A12DD8" w14:textId="77777777" w:rsidR="001B4284" w:rsidRPr="00455D43" w:rsidRDefault="001B4284" w:rsidP="001B4284">
            <w:pPr>
              <w:rPr>
                <w:color w:val="000000"/>
                <w:sz w:val="18"/>
                <w:szCs w:val="18"/>
              </w:rPr>
            </w:pPr>
            <w:r w:rsidRPr="00455D43">
              <w:rPr>
                <w:color w:val="000000"/>
                <w:sz w:val="18"/>
                <w:szCs w:val="18"/>
              </w:rPr>
              <w:t>F/P 01498-005-002 - Projekt izgradnje objekata komunalne i društvene infrastrukture na hrv. otocima</w:t>
            </w:r>
          </w:p>
        </w:tc>
        <w:tc>
          <w:tcPr>
            <w:tcW w:w="884" w:type="dxa"/>
            <w:tcBorders>
              <w:top w:val="nil"/>
              <w:left w:val="nil"/>
              <w:bottom w:val="single" w:sz="4" w:space="0" w:color="auto"/>
              <w:right w:val="single" w:sz="4" w:space="0" w:color="auto"/>
            </w:tcBorders>
            <w:shd w:val="clear" w:color="auto" w:fill="auto"/>
            <w:noWrap/>
            <w:vAlign w:val="center"/>
            <w:hideMark/>
          </w:tcPr>
          <w:p w14:paraId="53689115"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6D92B5C2"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3053B93B" w14:textId="77777777" w:rsidR="001B4284" w:rsidRPr="00455D43" w:rsidRDefault="001B4284" w:rsidP="001B4284">
            <w:pPr>
              <w:jc w:val="right"/>
              <w:rPr>
                <w:color w:val="000000"/>
                <w:sz w:val="18"/>
                <w:szCs w:val="18"/>
              </w:rPr>
            </w:pPr>
            <w:r w:rsidRPr="00455D43">
              <w:rPr>
                <w:color w:val="000000"/>
                <w:sz w:val="18"/>
                <w:szCs w:val="18"/>
              </w:rPr>
              <w:t>404.400,00</w:t>
            </w:r>
          </w:p>
        </w:tc>
      </w:tr>
      <w:tr w:rsidR="001B4284" w:rsidRPr="00455D43" w14:paraId="5CFB9B69" w14:textId="77777777" w:rsidTr="000F0D22">
        <w:trPr>
          <w:trHeight w:val="51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0ACF2D3" w14:textId="77777777" w:rsidR="001B4284" w:rsidRPr="00455D43" w:rsidRDefault="001B4284" w:rsidP="001B4284">
            <w:pPr>
              <w:jc w:val="center"/>
              <w:rPr>
                <w:sz w:val="18"/>
                <w:szCs w:val="18"/>
              </w:rPr>
            </w:pPr>
            <w:r w:rsidRPr="00455D43">
              <w:rPr>
                <w:sz w:val="18"/>
                <w:szCs w:val="18"/>
              </w:rPr>
              <w:t>5.</w:t>
            </w:r>
          </w:p>
        </w:tc>
        <w:tc>
          <w:tcPr>
            <w:tcW w:w="4678" w:type="dxa"/>
            <w:tcBorders>
              <w:top w:val="nil"/>
              <w:left w:val="nil"/>
              <w:bottom w:val="single" w:sz="4" w:space="0" w:color="auto"/>
              <w:right w:val="single" w:sz="4" w:space="0" w:color="auto"/>
            </w:tcBorders>
            <w:shd w:val="clear" w:color="auto" w:fill="auto"/>
            <w:vAlign w:val="center"/>
            <w:hideMark/>
          </w:tcPr>
          <w:p w14:paraId="35EC8A34" w14:textId="77777777" w:rsidR="001B4284" w:rsidRPr="00455D43" w:rsidRDefault="001B4284" w:rsidP="001B4284">
            <w:pPr>
              <w:rPr>
                <w:color w:val="000000"/>
                <w:sz w:val="18"/>
                <w:szCs w:val="18"/>
              </w:rPr>
            </w:pPr>
            <w:r w:rsidRPr="00455D43">
              <w:rPr>
                <w:color w:val="000000"/>
                <w:sz w:val="18"/>
                <w:szCs w:val="18"/>
              </w:rPr>
              <w:t>F/P 01498-006-002 - Projekt izgradnje objekata komunalne i društvene infrastrukture na hrv. otocima</w:t>
            </w:r>
          </w:p>
        </w:tc>
        <w:tc>
          <w:tcPr>
            <w:tcW w:w="884" w:type="dxa"/>
            <w:tcBorders>
              <w:top w:val="nil"/>
              <w:left w:val="nil"/>
              <w:bottom w:val="single" w:sz="4" w:space="0" w:color="auto"/>
              <w:right w:val="single" w:sz="4" w:space="0" w:color="auto"/>
            </w:tcBorders>
            <w:shd w:val="clear" w:color="auto" w:fill="auto"/>
            <w:noWrap/>
            <w:vAlign w:val="center"/>
            <w:hideMark/>
          </w:tcPr>
          <w:p w14:paraId="4E7EC8FA"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70F101B9"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68DC0D6A" w14:textId="77777777" w:rsidR="001B4284" w:rsidRPr="00455D43" w:rsidRDefault="001B4284" w:rsidP="001B4284">
            <w:pPr>
              <w:jc w:val="right"/>
              <w:rPr>
                <w:color w:val="000000"/>
                <w:sz w:val="18"/>
                <w:szCs w:val="18"/>
              </w:rPr>
            </w:pPr>
            <w:r w:rsidRPr="00455D43">
              <w:rPr>
                <w:color w:val="000000"/>
                <w:sz w:val="18"/>
                <w:szCs w:val="18"/>
              </w:rPr>
              <w:t>230.478,80</w:t>
            </w:r>
          </w:p>
        </w:tc>
      </w:tr>
      <w:tr w:rsidR="001B4284" w:rsidRPr="00455D43" w14:paraId="30241C67" w14:textId="77777777" w:rsidTr="000F0D22">
        <w:trPr>
          <w:trHeight w:val="51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B85E74F" w14:textId="77777777" w:rsidR="001B4284" w:rsidRPr="00455D43" w:rsidRDefault="001B4284" w:rsidP="001B4284">
            <w:pPr>
              <w:jc w:val="center"/>
              <w:rPr>
                <w:sz w:val="18"/>
                <w:szCs w:val="18"/>
              </w:rPr>
            </w:pPr>
            <w:r w:rsidRPr="00455D43">
              <w:rPr>
                <w:sz w:val="18"/>
                <w:szCs w:val="18"/>
              </w:rPr>
              <w:t>6.</w:t>
            </w:r>
          </w:p>
        </w:tc>
        <w:tc>
          <w:tcPr>
            <w:tcW w:w="4678" w:type="dxa"/>
            <w:tcBorders>
              <w:top w:val="nil"/>
              <w:left w:val="nil"/>
              <w:bottom w:val="single" w:sz="4" w:space="0" w:color="auto"/>
              <w:right w:val="single" w:sz="4" w:space="0" w:color="auto"/>
            </w:tcBorders>
            <w:shd w:val="clear" w:color="auto" w:fill="auto"/>
            <w:vAlign w:val="center"/>
            <w:hideMark/>
          </w:tcPr>
          <w:p w14:paraId="1B078536" w14:textId="77777777" w:rsidR="001B4284" w:rsidRPr="00455D43" w:rsidRDefault="001B4284" w:rsidP="001B4284">
            <w:pPr>
              <w:rPr>
                <w:color w:val="000000"/>
                <w:sz w:val="18"/>
                <w:szCs w:val="18"/>
              </w:rPr>
            </w:pPr>
            <w:r w:rsidRPr="00455D43">
              <w:rPr>
                <w:color w:val="000000"/>
                <w:sz w:val="18"/>
                <w:szCs w:val="18"/>
              </w:rPr>
              <w:t>F/P 01498-007-002 - Projekt izgradnje objekata komunalne i društvene infrastrukture na hrv. otocima</w:t>
            </w:r>
          </w:p>
        </w:tc>
        <w:tc>
          <w:tcPr>
            <w:tcW w:w="884" w:type="dxa"/>
            <w:tcBorders>
              <w:top w:val="nil"/>
              <w:left w:val="nil"/>
              <w:bottom w:val="single" w:sz="4" w:space="0" w:color="auto"/>
              <w:right w:val="single" w:sz="4" w:space="0" w:color="auto"/>
            </w:tcBorders>
            <w:shd w:val="clear" w:color="auto" w:fill="auto"/>
            <w:noWrap/>
            <w:vAlign w:val="center"/>
            <w:hideMark/>
          </w:tcPr>
          <w:p w14:paraId="0A8E3559"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0CA14AD0"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22BFB8E0" w14:textId="77777777" w:rsidR="001B4284" w:rsidRPr="00455D43" w:rsidRDefault="001B4284" w:rsidP="001B4284">
            <w:pPr>
              <w:jc w:val="right"/>
              <w:rPr>
                <w:color w:val="000000"/>
                <w:sz w:val="18"/>
                <w:szCs w:val="18"/>
              </w:rPr>
            </w:pPr>
            <w:r w:rsidRPr="00455D43">
              <w:rPr>
                <w:color w:val="000000"/>
                <w:sz w:val="18"/>
                <w:szCs w:val="18"/>
              </w:rPr>
              <w:t>1.039.882,20</w:t>
            </w:r>
          </w:p>
        </w:tc>
      </w:tr>
      <w:tr w:rsidR="001B4284" w:rsidRPr="00455D43" w14:paraId="7B2332B3" w14:textId="77777777" w:rsidTr="000F0D22">
        <w:trPr>
          <w:trHeight w:val="51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46269A4" w14:textId="77777777" w:rsidR="001B4284" w:rsidRPr="00455D43" w:rsidRDefault="001B4284" w:rsidP="001B4284">
            <w:pPr>
              <w:jc w:val="center"/>
              <w:rPr>
                <w:sz w:val="18"/>
                <w:szCs w:val="18"/>
              </w:rPr>
            </w:pPr>
            <w:r w:rsidRPr="00455D43">
              <w:rPr>
                <w:sz w:val="18"/>
                <w:szCs w:val="18"/>
              </w:rPr>
              <w:t>7.</w:t>
            </w:r>
          </w:p>
        </w:tc>
        <w:tc>
          <w:tcPr>
            <w:tcW w:w="4678" w:type="dxa"/>
            <w:tcBorders>
              <w:top w:val="nil"/>
              <w:left w:val="nil"/>
              <w:bottom w:val="single" w:sz="4" w:space="0" w:color="auto"/>
              <w:right w:val="single" w:sz="4" w:space="0" w:color="auto"/>
            </w:tcBorders>
            <w:shd w:val="clear" w:color="auto" w:fill="auto"/>
            <w:vAlign w:val="center"/>
            <w:hideMark/>
          </w:tcPr>
          <w:p w14:paraId="7E7BAAB1" w14:textId="77777777" w:rsidR="001B4284" w:rsidRPr="00455D43" w:rsidRDefault="001B4284" w:rsidP="001B4284">
            <w:pPr>
              <w:rPr>
                <w:color w:val="000000"/>
                <w:sz w:val="18"/>
                <w:szCs w:val="18"/>
              </w:rPr>
            </w:pPr>
            <w:r w:rsidRPr="00455D43">
              <w:rPr>
                <w:color w:val="000000"/>
                <w:sz w:val="18"/>
                <w:szCs w:val="18"/>
              </w:rPr>
              <w:t>F/P 01511-002-002 - Projekt "Istraživanje, obnova i revitalizacija kulturne baštine Ilok - Vukovar - Vučedol"</w:t>
            </w:r>
          </w:p>
        </w:tc>
        <w:tc>
          <w:tcPr>
            <w:tcW w:w="884" w:type="dxa"/>
            <w:tcBorders>
              <w:top w:val="nil"/>
              <w:left w:val="nil"/>
              <w:bottom w:val="single" w:sz="4" w:space="0" w:color="auto"/>
              <w:right w:val="single" w:sz="4" w:space="0" w:color="auto"/>
            </w:tcBorders>
            <w:shd w:val="clear" w:color="auto" w:fill="auto"/>
            <w:noWrap/>
            <w:vAlign w:val="center"/>
            <w:hideMark/>
          </w:tcPr>
          <w:p w14:paraId="69503AB7"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45E96668"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260A7B26" w14:textId="77777777" w:rsidR="001B4284" w:rsidRPr="00455D43" w:rsidRDefault="001B4284" w:rsidP="001B4284">
            <w:pPr>
              <w:jc w:val="right"/>
              <w:rPr>
                <w:color w:val="000000"/>
                <w:sz w:val="18"/>
                <w:szCs w:val="18"/>
              </w:rPr>
            </w:pPr>
            <w:r w:rsidRPr="00455D43">
              <w:rPr>
                <w:color w:val="000000"/>
                <w:sz w:val="18"/>
                <w:szCs w:val="18"/>
              </w:rPr>
              <w:t>0,00</w:t>
            </w:r>
          </w:p>
        </w:tc>
      </w:tr>
      <w:tr w:rsidR="001B4284" w:rsidRPr="00455D43" w14:paraId="4F0E21DB" w14:textId="77777777" w:rsidTr="000F0D22">
        <w:trPr>
          <w:trHeight w:val="51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05CEB53" w14:textId="77777777" w:rsidR="001B4284" w:rsidRPr="00455D43" w:rsidRDefault="001B4284" w:rsidP="001B4284">
            <w:pPr>
              <w:jc w:val="center"/>
              <w:rPr>
                <w:sz w:val="18"/>
                <w:szCs w:val="18"/>
              </w:rPr>
            </w:pPr>
            <w:r w:rsidRPr="00455D43">
              <w:rPr>
                <w:sz w:val="18"/>
                <w:szCs w:val="18"/>
              </w:rPr>
              <w:t>8.</w:t>
            </w:r>
          </w:p>
        </w:tc>
        <w:tc>
          <w:tcPr>
            <w:tcW w:w="4678" w:type="dxa"/>
            <w:tcBorders>
              <w:top w:val="nil"/>
              <w:left w:val="nil"/>
              <w:bottom w:val="single" w:sz="4" w:space="0" w:color="auto"/>
              <w:right w:val="single" w:sz="4" w:space="0" w:color="auto"/>
            </w:tcBorders>
            <w:shd w:val="clear" w:color="auto" w:fill="auto"/>
            <w:vAlign w:val="center"/>
            <w:hideMark/>
          </w:tcPr>
          <w:p w14:paraId="57BC9103" w14:textId="77777777" w:rsidR="001B4284" w:rsidRPr="00455D43" w:rsidRDefault="001B4284" w:rsidP="001B4284">
            <w:pPr>
              <w:rPr>
                <w:color w:val="000000"/>
                <w:sz w:val="18"/>
                <w:szCs w:val="18"/>
              </w:rPr>
            </w:pPr>
            <w:r w:rsidRPr="00455D43">
              <w:rPr>
                <w:color w:val="000000"/>
                <w:sz w:val="18"/>
                <w:szCs w:val="18"/>
              </w:rPr>
              <w:t>F/P 01511-003-002 - Projekt "Istraživanje, obnova i revitalizacija kulturne baštine Ilok - Vukovar - Vučedol"</w:t>
            </w:r>
          </w:p>
        </w:tc>
        <w:tc>
          <w:tcPr>
            <w:tcW w:w="884" w:type="dxa"/>
            <w:tcBorders>
              <w:top w:val="nil"/>
              <w:left w:val="nil"/>
              <w:bottom w:val="single" w:sz="4" w:space="0" w:color="auto"/>
              <w:right w:val="single" w:sz="4" w:space="0" w:color="auto"/>
            </w:tcBorders>
            <w:shd w:val="clear" w:color="auto" w:fill="auto"/>
            <w:noWrap/>
            <w:vAlign w:val="center"/>
            <w:hideMark/>
          </w:tcPr>
          <w:p w14:paraId="78141354"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3536654B"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02D8B7C1" w14:textId="77777777" w:rsidR="001B4284" w:rsidRPr="00455D43" w:rsidRDefault="001B4284" w:rsidP="001B4284">
            <w:pPr>
              <w:jc w:val="right"/>
              <w:rPr>
                <w:color w:val="000000"/>
                <w:sz w:val="18"/>
                <w:szCs w:val="18"/>
              </w:rPr>
            </w:pPr>
            <w:r w:rsidRPr="00455D43">
              <w:rPr>
                <w:color w:val="000000"/>
                <w:sz w:val="18"/>
                <w:szCs w:val="18"/>
              </w:rPr>
              <w:t>362.000,00</w:t>
            </w:r>
          </w:p>
        </w:tc>
      </w:tr>
      <w:tr w:rsidR="001B4284" w:rsidRPr="00455D43" w14:paraId="174CB676" w14:textId="77777777" w:rsidTr="000F0D22">
        <w:trPr>
          <w:trHeight w:val="51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C35B7FC" w14:textId="77777777" w:rsidR="001B4284" w:rsidRPr="00455D43" w:rsidRDefault="001B4284" w:rsidP="001B4284">
            <w:pPr>
              <w:jc w:val="center"/>
              <w:rPr>
                <w:sz w:val="18"/>
                <w:szCs w:val="18"/>
              </w:rPr>
            </w:pPr>
            <w:r w:rsidRPr="00455D43">
              <w:rPr>
                <w:sz w:val="18"/>
                <w:szCs w:val="18"/>
              </w:rPr>
              <w:t>9.</w:t>
            </w:r>
          </w:p>
        </w:tc>
        <w:tc>
          <w:tcPr>
            <w:tcW w:w="4678" w:type="dxa"/>
            <w:tcBorders>
              <w:top w:val="nil"/>
              <w:left w:val="nil"/>
              <w:bottom w:val="single" w:sz="4" w:space="0" w:color="auto"/>
              <w:right w:val="single" w:sz="4" w:space="0" w:color="auto"/>
            </w:tcBorders>
            <w:shd w:val="clear" w:color="auto" w:fill="auto"/>
            <w:vAlign w:val="center"/>
            <w:hideMark/>
          </w:tcPr>
          <w:p w14:paraId="63E01ED4" w14:textId="77777777" w:rsidR="001B4284" w:rsidRPr="00455D43" w:rsidRDefault="001B4284" w:rsidP="001B4284">
            <w:pPr>
              <w:rPr>
                <w:color w:val="000000"/>
                <w:sz w:val="18"/>
                <w:szCs w:val="18"/>
              </w:rPr>
            </w:pPr>
            <w:r w:rsidRPr="00455D43">
              <w:rPr>
                <w:color w:val="000000"/>
                <w:sz w:val="18"/>
                <w:szCs w:val="18"/>
              </w:rPr>
              <w:t>F/P 01511-004-002 - Projekt "Istraživanje, obnova i revitalizacija kulturne baštine Ilok - Vukovar - Vučedol"</w:t>
            </w:r>
          </w:p>
        </w:tc>
        <w:tc>
          <w:tcPr>
            <w:tcW w:w="884" w:type="dxa"/>
            <w:tcBorders>
              <w:top w:val="nil"/>
              <w:left w:val="nil"/>
              <w:bottom w:val="single" w:sz="4" w:space="0" w:color="auto"/>
              <w:right w:val="single" w:sz="4" w:space="0" w:color="auto"/>
            </w:tcBorders>
            <w:shd w:val="clear" w:color="auto" w:fill="auto"/>
            <w:noWrap/>
            <w:vAlign w:val="center"/>
            <w:hideMark/>
          </w:tcPr>
          <w:p w14:paraId="280B9497"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5F503C12"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241D68DD" w14:textId="77777777" w:rsidR="001B4284" w:rsidRPr="00455D43" w:rsidRDefault="001B4284" w:rsidP="001B4284">
            <w:pPr>
              <w:jc w:val="right"/>
              <w:rPr>
                <w:color w:val="000000"/>
                <w:sz w:val="18"/>
                <w:szCs w:val="18"/>
              </w:rPr>
            </w:pPr>
            <w:r w:rsidRPr="00455D43">
              <w:rPr>
                <w:color w:val="000000"/>
                <w:sz w:val="18"/>
                <w:szCs w:val="18"/>
              </w:rPr>
              <w:t>2.280.000,00</w:t>
            </w:r>
          </w:p>
        </w:tc>
      </w:tr>
      <w:tr w:rsidR="001B4284" w:rsidRPr="00455D43" w14:paraId="199CB731" w14:textId="77777777" w:rsidTr="000F0D22">
        <w:trPr>
          <w:trHeight w:val="51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5008DFA" w14:textId="77777777" w:rsidR="001B4284" w:rsidRPr="00455D43" w:rsidRDefault="001B4284" w:rsidP="001B4284">
            <w:pPr>
              <w:jc w:val="center"/>
              <w:rPr>
                <w:sz w:val="18"/>
                <w:szCs w:val="18"/>
              </w:rPr>
            </w:pPr>
            <w:r w:rsidRPr="00455D43">
              <w:rPr>
                <w:sz w:val="18"/>
                <w:szCs w:val="18"/>
              </w:rPr>
              <w:t>10.</w:t>
            </w:r>
          </w:p>
        </w:tc>
        <w:tc>
          <w:tcPr>
            <w:tcW w:w="4678" w:type="dxa"/>
            <w:tcBorders>
              <w:top w:val="nil"/>
              <w:left w:val="nil"/>
              <w:bottom w:val="single" w:sz="4" w:space="0" w:color="auto"/>
              <w:right w:val="single" w:sz="4" w:space="0" w:color="auto"/>
            </w:tcBorders>
            <w:shd w:val="clear" w:color="auto" w:fill="auto"/>
            <w:vAlign w:val="center"/>
            <w:hideMark/>
          </w:tcPr>
          <w:p w14:paraId="3153AA1B" w14:textId="77777777" w:rsidR="001B4284" w:rsidRPr="00455D43" w:rsidRDefault="001B4284" w:rsidP="001B4284">
            <w:pPr>
              <w:rPr>
                <w:color w:val="000000"/>
                <w:sz w:val="18"/>
                <w:szCs w:val="18"/>
              </w:rPr>
            </w:pPr>
            <w:r w:rsidRPr="00455D43">
              <w:rPr>
                <w:color w:val="000000"/>
                <w:sz w:val="18"/>
                <w:szCs w:val="18"/>
              </w:rPr>
              <w:t>F/P 01511-005-002 - Projekt "Istraživanje, obnova i revitalizacija kulturne baštine Ilok - Vukovar - Vučedol"</w:t>
            </w:r>
          </w:p>
        </w:tc>
        <w:tc>
          <w:tcPr>
            <w:tcW w:w="884" w:type="dxa"/>
            <w:tcBorders>
              <w:top w:val="nil"/>
              <w:left w:val="nil"/>
              <w:bottom w:val="single" w:sz="4" w:space="0" w:color="auto"/>
              <w:right w:val="single" w:sz="4" w:space="0" w:color="auto"/>
            </w:tcBorders>
            <w:shd w:val="clear" w:color="auto" w:fill="auto"/>
            <w:noWrap/>
            <w:vAlign w:val="center"/>
            <w:hideMark/>
          </w:tcPr>
          <w:p w14:paraId="71B19211"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443D8239"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06B99BDA" w14:textId="77777777" w:rsidR="001B4284" w:rsidRPr="00455D43" w:rsidRDefault="001B4284" w:rsidP="001B4284">
            <w:pPr>
              <w:jc w:val="right"/>
              <w:rPr>
                <w:color w:val="000000"/>
                <w:sz w:val="18"/>
                <w:szCs w:val="18"/>
              </w:rPr>
            </w:pPr>
            <w:r w:rsidRPr="00455D43">
              <w:rPr>
                <w:color w:val="000000"/>
                <w:sz w:val="18"/>
                <w:szCs w:val="18"/>
              </w:rPr>
              <w:t>934.400,40</w:t>
            </w:r>
          </w:p>
        </w:tc>
      </w:tr>
      <w:tr w:rsidR="001B4284" w:rsidRPr="00455D43" w14:paraId="52E311A8" w14:textId="77777777" w:rsidTr="000F0D22">
        <w:trPr>
          <w:trHeight w:val="30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C2C80BC" w14:textId="77777777" w:rsidR="001B4284" w:rsidRPr="00455D43" w:rsidRDefault="001B4284" w:rsidP="001B4284">
            <w:pPr>
              <w:jc w:val="center"/>
              <w:rPr>
                <w:sz w:val="18"/>
                <w:szCs w:val="18"/>
              </w:rPr>
            </w:pPr>
            <w:r w:rsidRPr="00455D43">
              <w:rPr>
                <w:sz w:val="18"/>
                <w:szCs w:val="18"/>
              </w:rPr>
              <w:t>11.</w:t>
            </w:r>
          </w:p>
        </w:tc>
        <w:tc>
          <w:tcPr>
            <w:tcW w:w="4678" w:type="dxa"/>
            <w:tcBorders>
              <w:top w:val="nil"/>
              <w:left w:val="nil"/>
              <w:bottom w:val="single" w:sz="4" w:space="0" w:color="auto"/>
              <w:right w:val="single" w:sz="4" w:space="0" w:color="auto"/>
            </w:tcBorders>
            <w:shd w:val="clear" w:color="auto" w:fill="auto"/>
            <w:vAlign w:val="center"/>
            <w:hideMark/>
          </w:tcPr>
          <w:p w14:paraId="42536D09" w14:textId="77777777" w:rsidR="001B4284" w:rsidRPr="00455D43" w:rsidRDefault="001B4284" w:rsidP="001B4284">
            <w:pPr>
              <w:rPr>
                <w:color w:val="000000"/>
                <w:sz w:val="18"/>
                <w:szCs w:val="18"/>
              </w:rPr>
            </w:pPr>
            <w:r w:rsidRPr="00455D43">
              <w:rPr>
                <w:color w:val="000000"/>
                <w:sz w:val="18"/>
                <w:szCs w:val="18"/>
              </w:rPr>
              <w:t>F/P 01576-002-002 - Projekt financiranja zdravstvenih ustanova u RH</w:t>
            </w:r>
          </w:p>
        </w:tc>
        <w:tc>
          <w:tcPr>
            <w:tcW w:w="884" w:type="dxa"/>
            <w:tcBorders>
              <w:top w:val="nil"/>
              <w:left w:val="nil"/>
              <w:bottom w:val="single" w:sz="4" w:space="0" w:color="auto"/>
              <w:right w:val="single" w:sz="4" w:space="0" w:color="auto"/>
            </w:tcBorders>
            <w:shd w:val="clear" w:color="auto" w:fill="auto"/>
            <w:noWrap/>
            <w:vAlign w:val="center"/>
            <w:hideMark/>
          </w:tcPr>
          <w:p w14:paraId="158AC9B7"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086923FC"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44963E5B" w14:textId="77777777" w:rsidR="001B4284" w:rsidRPr="00455D43" w:rsidRDefault="001B4284" w:rsidP="001B4284">
            <w:pPr>
              <w:jc w:val="right"/>
              <w:rPr>
                <w:color w:val="000000"/>
                <w:sz w:val="18"/>
                <w:szCs w:val="18"/>
              </w:rPr>
            </w:pPr>
            <w:r w:rsidRPr="00455D43">
              <w:rPr>
                <w:color w:val="000000"/>
                <w:sz w:val="18"/>
                <w:szCs w:val="18"/>
              </w:rPr>
              <w:t>0,00</w:t>
            </w:r>
          </w:p>
        </w:tc>
      </w:tr>
      <w:tr w:rsidR="001B4284" w:rsidRPr="00455D43" w14:paraId="3D67AF8A" w14:textId="77777777" w:rsidTr="000F0D22">
        <w:trPr>
          <w:trHeight w:val="255"/>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C2949BF" w14:textId="77777777" w:rsidR="001B4284" w:rsidRPr="00455D43" w:rsidRDefault="001B4284" w:rsidP="001B4284">
            <w:pPr>
              <w:jc w:val="center"/>
              <w:rPr>
                <w:sz w:val="18"/>
                <w:szCs w:val="18"/>
              </w:rPr>
            </w:pPr>
            <w:r w:rsidRPr="00455D43">
              <w:rPr>
                <w:sz w:val="18"/>
                <w:szCs w:val="18"/>
              </w:rPr>
              <w:t>12.</w:t>
            </w:r>
          </w:p>
        </w:tc>
        <w:tc>
          <w:tcPr>
            <w:tcW w:w="4678" w:type="dxa"/>
            <w:tcBorders>
              <w:top w:val="nil"/>
              <w:left w:val="nil"/>
              <w:bottom w:val="single" w:sz="4" w:space="0" w:color="auto"/>
              <w:right w:val="single" w:sz="4" w:space="0" w:color="auto"/>
            </w:tcBorders>
            <w:shd w:val="clear" w:color="auto" w:fill="auto"/>
            <w:vAlign w:val="center"/>
            <w:hideMark/>
          </w:tcPr>
          <w:p w14:paraId="06FF1DED" w14:textId="77777777" w:rsidR="001B4284" w:rsidRPr="00455D43" w:rsidRDefault="001B4284" w:rsidP="001B4284">
            <w:pPr>
              <w:rPr>
                <w:color w:val="000000"/>
                <w:sz w:val="18"/>
                <w:szCs w:val="18"/>
              </w:rPr>
            </w:pPr>
            <w:r w:rsidRPr="00455D43">
              <w:rPr>
                <w:color w:val="000000"/>
                <w:sz w:val="18"/>
                <w:szCs w:val="18"/>
              </w:rPr>
              <w:t>F/P 01576-003-002 - Projekt financiranja zdravstvenih ustanova u RH</w:t>
            </w:r>
          </w:p>
        </w:tc>
        <w:tc>
          <w:tcPr>
            <w:tcW w:w="884" w:type="dxa"/>
            <w:tcBorders>
              <w:top w:val="nil"/>
              <w:left w:val="nil"/>
              <w:bottom w:val="single" w:sz="4" w:space="0" w:color="auto"/>
              <w:right w:val="single" w:sz="4" w:space="0" w:color="auto"/>
            </w:tcBorders>
            <w:shd w:val="clear" w:color="auto" w:fill="auto"/>
            <w:noWrap/>
            <w:vAlign w:val="center"/>
            <w:hideMark/>
          </w:tcPr>
          <w:p w14:paraId="042BB231"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1B5FB1E8"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4138DC49" w14:textId="77777777" w:rsidR="001B4284" w:rsidRPr="00455D43" w:rsidRDefault="001B4284" w:rsidP="001B4284">
            <w:pPr>
              <w:jc w:val="right"/>
              <w:rPr>
                <w:color w:val="000000"/>
                <w:sz w:val="18"/>
                <w:szCs w:val="18"/>
              </w:rPr>
            </w:pPr>
            <w:r w:rsidRPr="00455D43">
              <w:rPr>
                <w:color w:val="000000"/>
                <w:sz w:val="18"/>
                <w:szCs w:val="18"/>
              </w:rPr>
              <w:t>5.615.123,20</w:t>
            </w:r>
          </w:p>
        </w:tc>
      </w:tr>
      <w:tr w:rsidR="001B4284" w:rsidRPr="00455D43" w14:paraId="3C8A54A4"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DC624DD" w14:textId="77777777" w:rsidR="001B4284" w:rsidRPr="00455D43" w:rsidRDefault="001B4284" w:rsidP="001B4284">
            <w:pPr>
              <w:jc w:val="center"/>
              <w:rPr>
                <w:sz w:val="18"/>
                <w:szCs w:val="18"/>
              </w:rPr>
            </w:pPr>
            <w:r w:rsidRPr="00455D43">
              <w:rPr>
                <w:sz w:val="18"/>
                <w:szCs w:val="18"/>
              </w:rPr>
              <w:t>13.</w:t>
            </w:r>
          </w:p>
        </w:tc>
        <w:tc>
          <w:tcPr>
            <w:tcW w:w="4678" w:type="dxa"/>
            <w:tcBorders>
              <w:top w:val="nil"/>
              <w:left w:val="nil"/>
              <w:bottom w:val="single" w:sz="4" w:space="0" w:color="auto"/>
              <w:right w:val="single" w:sz="4" w:space="0" w:color="auto"/>
            </w:tcBorders>
            <w:shd w:val="clear" w:color="auto" w:fill="auto"/>
            <w:vAlign w:val="center"/>
            <w:hideMark/>
          </w:tcPr>
          <w:p w14:paraId="4581030F" w14:textId="77777777" w:rsidR="001B4284" w:rsidRPr="00455D43" w:rsidRDefault="001B4284" w:rsidP="001B4284">
            <w:pPr>
              <w:rPr>
                <w:color w:val="000000"/>
                <w:sz w:val="18"/>
                <w:szCs w:val="18"/>
              </w:rPr>
            </w:pPr>
            <w:r w:rsidRPr="00455D43">
              <w:rPr>
                <w:color w:val="000000"/>
                <w:sz w:val="18"/>
                <w:szCs w:val="18"/>
              </w:rPr>
              <w:t>F/P 01751-001-001 - Projekt "Financiranje vodno-komunalne infrastrukture"</w:t>
            </w:r>
          </w:p>
        </w:tc>
        <w:tc>
          <w:tcPr>
            <w:tcW w:w="884" w:type="dxa"/>
            <w:tcBorders>
              <w:top w:val="nil"/>
              <w:left w:val="nil"/>
              <w:bottom w:val="single" w:sz="4" w:space="0" w:color="auto"/>
              <w:right w:val="single" w:sz="4" w:space="0" w:color="auto"/>
            </w:tcBorders>
            <w:shd w:val="clear" w:color="auto" w:fill="auto"/>
            <w:noWrap/>
            <w:vAlign w:val="center"/>
            <w:hideMark/>
          </w:tcPr>
          <w:p w14:paraId="015F28F3"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3AB2A53B"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72798FB0" w14:textId="77777777" w:rsidR="001B4284" w:rsidRPr="00455D43" w:rsidRDefault="001B4284" w:rsidP="001B4284">
            <w:pPr>
              <w:jc w:val="right"/>
              <w:rPr>
                <w:color w:val="000000"/>
                <w:sz w:val="18"/>
                <w:szCs w:val="18"/>
              </w:rPr>
            </w:pPr>
            <w:r w:rsidRPr="00455D43">
              <w:rPr>
                <w:color w:val="000000"/>
                <w:sz w:val="18"/>
                <w:szCs w:val="18"/>
              </w:rPr>
              <w:t>6.300.000,00</w:t>
            </w:r>
          </w:p>
        </w:tc>
      </w:tr>
      <w:tr w:rsidR="001B4284" w:rsidRPr="00455D43" w14:paraId="409BACC2"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1DDDB3E" w14:textId="77777777" w:rsidR="001B4284" w:rsidRPr="00455D43" w:rsidRDefault="001B4284" w:rsidP="001B4284">
            <w:pPr>
              <w:jc w:val="center"/>
              <w:rPr>
                <w:sz w:val="18"/>
                <w:szCs w:val="18"/>
              </w:rPr>
            </w:pPr>
            <w:r w:rsidRPr="00455D43">
              <w:rPr>
                <w:sz w:val="18"/>
                <w:szCs w:val="18"/>
              </w:rPr>
              <w:t>14.</w:t>
            </w:r>
          </w:p>
        </w:tc>
        <w:tc>
          <w:tcPr>
            <w:tcW w:w="4678" w:type="dxa"/>
            <w:tcBorders>
              <w:top w:val="nil"/>
              <w:left w:val="nil"/>
              <w:bottom w:val="single" w:sz="4" w:space="0" w:color="auto"/>
              <w:right w:val="single" w:sz="4" w:space="0" w:color="auto"/>
            </w:tcBorders>
            <w:shd w:val="clear" w:color="auto" w:fill="auto"/>
            <w:vAlign w:val="center"/>
            <w:hideMark/>
          </w:tcPr>
          <w:p w14:paraId="57308DD3" w14:textId="77777777" w:rsidR="001B4284" w:rsidRPr="00455D43" w:rsidRDefault="001B4284" w:rsidP="001B4284">
            <w:pPr>
              <w:rPr>
                <w:color w:val="000000"/>
                <w:sz w:val="18"/>
                <w:szCs w:val="18"/>
              </w:rPr>
            </w:pPr>
            <w:r w:rsidRPr="00455D43">
              <w:rPr>
                <w:color w:val="000000"/>
                <w:sz w:val="18"/>
                <w:szCs w:val="18"/>
              </w:rPr>
              <w:t>F/P 01751-003-000 - Projekt "Financiranje vodno-komunalne infrastrukture"</w:t>
            </w:r>
          </w:p>
        </w:tc>
        <w:tc>
          <w:tcPr>
            <w:tcW w:w="884" w:type="dxa"/>
            <w:tcBorders>
              <w:top w:val="nil"/>
              <w:left w:val="nil"/>
              <w:bottom w:val="single" w:sz="4" w:space="0" w:color="auto"/>
              <w:right w:val="single" w:sz="4" w:space="0" w:color="auto"/>
            </w:tcBorders>
            <w:shd w:val="clear" w:color="auto" w:fill="auto"/>
            <w:noWrap/>
            <w:vAlign w:val="center"/>
            <w:hideMark/>
          </w:tcPr>
          <w:p w14:paraId="7CBDA93F"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1312CEAD"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538F6ED4" w14:textId="77777777" w:rsidR="001B4284" w:rsidRPr="00455D43" w:rsidRDefault="001B4284" w:rsidP="001B4284">
            <w:pPr>
              <w:jc w:val="right"/>
              <w:rPr>
                <w:color w:val="000000"/>
                <w:sz w:val="18"/>
                <w:szCs w:val="18"/>
              </w:rPr>
            </w:pPr>
            <w:r w:rsidRPr="00455D43">
              <w:rPr>
                <w:color w:val="000000"/>
                <w:sz w:val="18"/>
                <w:szCs w:val="18"/>
              </w:rPr>
              <w:t>0,00</w:t>
            </w:r>
          </w:p>
        </w:tc>
      </w:tr>
      <w:tr w:rsidR="001B4284" w:rsidRPr="00455D43" w14:paraId="1C98F2E8"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F3F5DFA" w14:textId="77777777" w:rsidR="001B4284" w:rsidRPr="00455D43" w:rsidRDefault="001B4284" w:rsidP="001B4284">
            <w:pPr>
              <w:jc w:val="center"/>
              <w:rPr>
                <w:sz w:val="18"/>
                <w:szCs w:val="18"/>
              </w:rPr>
            </w:pPr>
            <w:r w:rsidRPr="00455D43">
              <w:rPr>
                <w:sz w:val="18"/>
                <w:szCs w:val="18"/>
              </w:rPr>
              <w:t>15.</w:t>
            </w:r>
          </w:p>
        </w:tc>
        <w:tc>
          <w:tcPr>
            <w:tcW w:w="4678" w:type="dxa"/>
            <w:tcBorders>
              <w:top w:val="nil"/>
              <w:left w:val="nil"/>
              <w:bottom w:val="single" w:sz="4" w:space="0" w:color="auto"/>
              <w:right w:val="single" w:sz="4" w:space="0" w:color="auto"/>
            </w:tcBorders>
            <w:shd w:val="clear" w:color="auto" w:fill="auto"/>
            <w:vAlign w:val="center"/>
            <w:hideMark/>
          </w:tcPr>
          <w:p w14:paraId="2D050EF2" w14:textId="77777777" w:rsidR="001B4284" w:rsidRPr="00455D43" w:rsidRDefault="001B4284" w:rsidP="001B4284">
            <w:pPr>
              <w:rPr>
                <w:color w:val="000000"/>
                <w:sz w:val="18"/>
                <w:szCs w:val="18"/>
              </w:rPr>
            </w:pPr>
            <w:r w:rsidRPr="00455D43">
              <w:rPr>
                <w:color w:val="000000"/>
                <w:sz w:val="18"/>
                <w:szCs w:val="18"/>
              </w:rPr>
              <w:t>F/P 01751-004-000 - Projekt "Financiranje vodno-komunalne infrastrukture"</w:t>
            </w:r>
          </w:p>
        </w:tc>
        <w:tc>
          <w:tcPr>
            <w:tcW w:w="884" w:type="dxa"/>
            <w:tcBorders>
              <w:top w:val="nil"/>
              <w:left w:val="nil"/>
              <w:bottom w:val="single" w:sz="4" w:space="0" w:color="auto"/>
              <w:right w:val="single" w:sz="4" w:space="0" w:color="auto"/>
            </w:tcBorders>
            <w:shd w:val="clear" w:color="auto" w:fill="auto"/>
            <w:noWrap/>
            <w:vAlign w:val="center"/>
            <w:hideMark/>
          </w:tcPr>
          <w:p w14:paraId="361B2C90"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4B895133"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6DFCF6E7" w14:textId="77777777" w:rsidR="001B4284" w:rsidRPr="00455D43" w:rsidRDefault="001B4284" w:rsidP="001B4284">
            <w:pPr>
              <w:jc w:val="right"/>
              <w:rPr>
                <w:color w:val="000000"/>
                <w:sz w:val="18"/>
                <w:szCs w:val="18"/>
              </w:rPr>
            </w:pPr>
            <w:r w:rsidRPr="00455D43">
              <w:rPr>
                <w:color w:val="000000"/>
                <w:sz w:val="18"/>
                <w:szCs w:val="18"/>
              </w:rPr>
              <w:t>0,00</w:t>
            </w:r>
          </w:p>
        </w:tc>
      </w:tr>
      <w:tr w:rsidR="001B4284" w:rsidRPr="00455D43" w14:paraId="3F05EE2A" w14:textId="77777777" w:rsidTr="000F0D22">
        <w:trPr>
          <w:trHeight w:val="255"/>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2AB72D7" w14:textId="77777777" w:rsidR="001B4284" w:rsidRPr="00455D43" w:rsidRDefault="001B4284" w:rsidP="001B4284">
            <w:pPr>
              <w:jc w:val="center"/>
              <w:rPr>
                <w:sz w:val="18"/>
                <w:szCs w:val="18"/>
              </w:rPr>
            </w:pPr>
            <w:r w:rsidRPr="00455D43">
              <w:rPr>
                <w:sz w:val="18"/>
                <w:szCs w:val="18"/>
              </w:rPr>
              <w:t>16.</w:t>
            </w:r>
          </w:p>
        </w:tc>
        <w:tc>
          <w:tcPr>
            <w:tcW w:w="4678" w:type="dxa"/>
            <w:tcBorders>
              <w:top w:val="nil"/>
              <w:left w:val="nil"/>
              <w:bottom w:val="single" w:sz="4" w:space="0" w:color="auto"/>
              <w:right w:val="single" w:sz="4" w:space="0" w:color="auto"/>
            </w:tcBorders>
            <w:shd w:val="clear" w:color="auto" w:fill="auto"/>
            <w:vAlign w:val="center"/>
            <w:hideMark/>
          </w:tcPr>
          <w:p w14:paraId="766183A9" w14:textId="77777777" w:rsidR="001B4284" w:rsidRPr="00455D43" w:rsidRDefault="001B4284" w:rsidP="001B4284">
            <w:pPr>
              <w:rPr>
                <w:color w:val="000000"/>
                <w:sz w:val="18"/>
                <w:szCs w:val="18"/>
              </w:rPr>
            </w:pPr>
            <w:r w:rsidRPr="00455D43">
              <w:rPr>
                <w:color w:val="000000"/>
                <w:sz w:val="18"/>
                <w:szCs w:val="18"/>
              </w:rPr>
              <w:t>LD 01845-001-000 - Projekt zaštite od poplava</w:t>
            </w:r>
          </w:p>
        </w:tc>
        <w:tc>
          <w:tcPr>
            <w:tcW w:w="884" w:type="dxa"/>
            <w:tcBorders>
              <w:top w:val="nil"/>
              <w:left w:val="nil"/>
              <w:bottom w:val="single" w:sz="4" w:space="0" w:color="auto"/>
              <w:right w:val="single" w:sz="4" w:space="0" w:color="auto"/>
            </w:tcBorders>
            <w:shd w:val="clear" w:color="auto" w:fill="auto"/>
            <w:noWrap/>
            <w:vAlign w:val="center"/>
            <w:hideMark/>
          </w:tcPr>
          <w:p w14:paraId="1604D745"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52C322B2"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2316DC16" w14:textId="77777777" w:rsidR="001B4284" w:rsidRPr="00455D43" w:rsidRDefault="001B4284" w:rsidP="001B4284">
            <w:pPr>
              <w:jc w:val="right"/>
              <w:rPr>
                <w:color w:val="000000"/>
                <w:sz w:val="18"/>
                <w:szCs w:val="18"/>
              </w:rPr>
            </w:pPr>
            <w:r w:rsidRPr="00455D43">
              <w:rPr>
                <w:color w:val="000000"/>
                <w:sz w:val="18"/>
                <w:szCs w:val="18"/>
              </w:rPr>
              <w:t>746.250,00</w:t>
            </w:r>
          </w:p>
        </w:tc>
      </w:tr>
      <w:tr w:rsidR="001B4284" w:rsidRPr="00455D43" w14:paraId="66FB8C86" w14:textId="77777777" w:rsidTr="000F0D22">
        <w:trPr>
          <w:trHeight w:val="255"/>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18EA79C" w14:textId="77777777" w:rsidR="001B4284" w:rsidRPr="00455D43" w:rsidRDefault="001B4284" w:rsidP="001B4284">
            <w:pPr>
              <w:jc w:val="center"/>
              <w:rPr>
                <w:sz w:val="18"/>
                <w:szCs w:val="18"/>
              </w:rPr>
            </w:pPr>
            <w:r w:rsidRPr="00455D43">
              <w:rPr>
                <w:sz w:val="18"/>
                <w:szCs w:val="18"/>
              </w:rPr>
              <w:t>17.</w:t>
            </w:r>
          </w:p>
        </w:tc>
        <w:tc>
          <w:tcPr>
            <w:tcW w:w="4678" w:type="dxa"/>
            <w:tcBorders>
              <w:top w:val="nil"/>
              <w:left w:val="nil"/>
              <w:bottom w:val="single" w:sz="4" w:space="0" w:color="auto"/>
              <w:right w:val="single" w:sz="4" w:space="0" w:color="auto"/>
            </w:tcBorders>
            <w:shd w:val="clear" w:color="auto" w:fill="auto"/>
            <w:vAlign w:val="center"/>
            <w:hideMark/>
          </w:tcPr>
          <w:p w14:paraId="38C0EA28" w14:textId="77777777" w:rsidR="001B4284" w:rsidRPr="00455D43" w:rsidRDefault="001B4284" w:rsidP="001B4284">
            <w:pPr>
              <w:rPr>
                <w:color w:val="000000"/>
                <w:sz w:val="18"/>
                <w:szCs w:val="18"/>
              </w:rPr>
            </w:pPr>
            <w:r w:rsidRPr="00455D43">
              <w:rPr>
                <w:color w:val="000000"/>
                <w:sz w:val="18"/>
                <w:szCs w:val="18"/>
              </w:rPr>
              <w:t>LD 01845-002-000 - Projekt zaštite od poplava</w:t>
            </w:r>
          </w:p>
        </w:tc>
        <w:tc>
          <w:tcPr>
            <w:tcW w:w="884" w:type="dxa"/>
            <w:tcBorders>
              <w:top w:val="nil"/>
              <w:left w:val="nil"/>
              <w:bottom w:val="single" w:sz="4" w:space="0" w:color="auto"/>
              <w:right w:val="single" w:sz="4" w:space="0" w:color="auto"/>
            </w:tcBorders>
            <w:shd w:val="clear" w:color="auto" w:fill="auto"/>
            <w:noWrap/>
            <w:vAlign w:val="center"/>
            <w:hideMark/>
          </w:tcPr>
          <w:p w14:paraId="5BE3DC3E"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4F851CF3"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40B47BBB" w14:textId="77777777" w:rsidR="001B4284" w:rsidRPr="00455D43" w:rsidRDefault="001B4284" w:rsidP="001B4284">
            <w:pPr>
              <w:jc w:val="right"/>
              <w:rPr>
                <w:color w:val="000000"/>
                <w:sz w:val="18"/>
                <w:szCs w:val="18"/>
              </w:rPr>
            </w:pPr>
            <w:r w:rsidRPr="00455D43">
              <w:rPr>
                <w:color w:val="000000"/>
                <w:sz w:val="18"/>
                <w:szCs w:val="18"/>
              </w:rPr>
              <w:t>3.603.522,21</w:t>
            </w:r>
          </w:p>
        </w:tc>
      </w:tr>
      <w:tr w:rsidR="001B4284" w:rsidRPr="00455D43" w14:paraId="26D734E5" w14:textId="77777777" w:rsidTr="000F0D22">
        <w:trPr>
          <w:trHeight w:val="255"/>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B4AD77B" w14:textId="77777777" w:rsidR="001B4284" w:rsidRPr="00455D43" w:rsidRDefault="001B4284" w:rsidP="001B4284">
            <w:pPr>
              <w:jc w:val="center"/>
              <w:rPr>
                <w:sz w:val="18"/>
                <w:szCs w:val="18"/>
              </w:rPr>
            </w:pPr>
            <w:r w:rsidRPr="00455D43">
              <w:rPr>
                <w:sz w:val="18"/>
                <w:szCs w:val="18"/>
              </w:rPr>
              <w:t>18.</w:t>
            </w:r>
          </w:p>
        </w:tc>
        <w:tc>
          <w:tcPr>
            <w:tcW w:w="4678" w:type="dxa"/>
            <w:tcBorders>
              <w:top w:val="nil"/>
              <w:left w:val="nil"/>
              <w:bottom w:val="single" w:sz="4" w:space="0" w:color="auto"/>
              <w:right w:val="single" w:sz="4" w:space="0" w:color="auto"/>
            </w:tcBorders>
            <w:shd w:val="clear" w:color="auto" w:fill="auto"/>
            <w:vAlign w:val="center"/>
            <w:hideMark/>
          </w:tcPr>
          <w:p w14:paraId="61396B9D" w14:textId="77777777" w:rsidR="001B4284" w:rsidRPr="00455D43" w:rsidRDefault="001B4284" w:rsidP="001B4284">
            <w:pPr>
              <w:rPr>
                <w:color w:val="000000"/>
                <w:sz w:val="18"/>
                <w:szCs w:val="18"/>
              </w:rPr>
            </w:pPr>
            <w:r w:rsidRPr="00455D43">
              <w:rPr>
                <w:color w:val="000000"/>
                <w:sz w:val="18"/>
                <w:szCs w:val="18"/>
              </w:rPr>
              <w:t>LD 01845-003-000 - Projekt zaštite od poplava</w:t>
            </w:r>
          </w:p>
        </w:tc>
        <w:tc>
          <w:tcPr>
            <w:tcW w:w="884" w:type="dxa"/>
            <w:tcBorders>
              <w:top w:val="nil"/>
              <w:left w:val="nil"/>
              <w:bottom w:val="single" w:sz="4" w:space="0" w:color="auto"/>
              <w:right w:val="single" w:sz="4" w:space="0" w:color="auto"/>
            </w:tcBorders>
            <w:shd w:val="clear" w:color="auto" w:fill="auto"/>
            <w:noWrap/>
            <w:vAlign w:val="center"/>
            <w:hideMark/>
          </w:tcPr>
          <w:p w14:paraId="72E24F62"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6F0C4B46"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45B0B331" w14:textId="77777777" w:rsidR="001B4284" w:rsidRPr="00455D43" w:rsidRDefault="001B4284" w:rsidP="001B4284">
            <w:pPr>
              <w:jc w:val="right"/>
              <w:rPr>
                <w:color w:val="000000"/>
                <w:sz w:val="18"/>
                <w:szCs w:val="18"/>
              </w:rPr>
            </w:pPr>
            <w:r w:rsidRPr="00455D43">
              <w:rPr>
                <w:color w:val="000000"/>
                <w:sz w:val="18"/>
                <w:szCs w:val="18"/>
              </w:rPr>
              <w:t>2.000.000,00</w:t>
            </w:r>
          </w:p>
        </w:tc>
      </w:tr>
      <w:tr w:rsidR="001B4284" w:rsidRPr="00455D43" w14:paraId="68062868" w14:textId="77777777" w:rsidTr="000F0D22">
        <w:trPr>
          <w:trHeight w:val="255"/>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91503B8" w14:textId="77777777" w:rsidR="001B4284" w:rsidRPr="00455D43" w:rsidRDefault="001B4284" w:rsidP="001B4284">
            <w:pPr>
              <w:jc w:val="center"/>
              <w:rPr>
                <w:sz w:val="18"/>
                <w:szCs w:val="18"/>
              </w:rPr>
            </w:pPr>
            <w:r w:rsidRPr="00455D43">
              <w:rPr>
                <w:sz w:val="18"/>
                <w:szCs w:val="18"/>
              </w:rPr>
              <w:t>19.</w:t>
            </w:r>
          </w:p>
        </w:tc>
        <w:tc>
          <w:tcPr>
            <w:tcW w:w="4678" w:type="dxa"/>
            <w:tcBorders>
              <w:top w:val="nil"/>
              <w:left w:val="nil"/>
              <w:bottom w:val="single" w:sz="4" w:space="0" w:color="auto"/>
              <w:right w:val="single" w:sz="4" w:space="0" w:color="auto"/>
            </w:tcBorders>
            <w:shd w:val="clear" w:color="auto" w:fill="auto"/>
            <w:vAlign w:val="center"/>
            <w:hideMark/>
          </w:tcPr>
          <w:p w14:paraId="263C6B1C" w14:textId="77777777" w:rsidR="001B4284" w:rsidRPr="00455D43" w:rsidRDefault="001B4284" w:rsidP="001B4284">
            <w:pPr>
              <w:rPr>
                <w:color w:val="000000"/>
                <w:sz w:val="18"/>
                <w:szCs w:val="18"/>
              </w:rPr>
            </w:pPr>
            <w:r w:rsidRPr="00455D43">
              <w:rPr>
                <w:color w:val="000000"/>
                <w:sz w:val="18"/>
                <w:szCs w:val="18"/>
              </w:rPr>
              <w:t>LD 01845-004-000 - Projekt zaštite od poplava</w:t>
            </w:r>
          </w:p>
        </w:tc>
        <w:tc>
          <w:tcPr>
            <w:tcW w:w="884" w:type="dxa"/>
            <w:tcBorders>
              <w:top w:val="nil"/>
              <w:left w:val="nil"/>
              <w:bottom w:val="single" w:sz="4" w:space="0" w:color="auto"/>
              <w:right w:val="single" w:sz="4" w:space="0" w:color="auto"/>
            </w:tcBorders>
            <w:shd w:val="clear" w:color="auto" w:fill="auto"/>
            <w:noWrap/>
            <w:vAlign w:val="center"/>
            <w:hideMark/>
          </w:tcPr>
          <w:p w14:paraId="76E5CCA9"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68E97823"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5FB2C396" w14:textId="77777777" w:rsidR="001B4284" w:rsidRPr="00455D43" w:rsidRDefault="001B4284" w:rsidP="001B4284">
            <w:pPr>
              <w:jc w:val="right"/>
              <w:rPr>
                <w:color w:val="000000"/>
                <w:sz w:val="18"/>
                <w:szCs w:val="18"/>
              </w:rPr>
            </w:pPr>
            <w:r w:rsidRPr="00455D43">
              <w:rPr>
                <w:color w:val="000000"/>
                <w:sz w:val="18"/>
                <w:szCs w:val="18"/>
              </w:rPr>
              <w:t>4.925.000,02</w:t>
            </w:r>
          </w:p>
        </w:tc>
      </w:tr>
      <w:tr w:rsidR="001B4284" w:rsidRPr="00455D43" w14:paraId="56A20D85" w14:textId="77777777" w:rsidTr="000F0D22">
        <w:trPr>
          <w:trHeight w:val="255"/>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F491298" w14:textId="77777777" w:rsidR="001B4284" w:rsidRPr="00455D43" w:rsidRDefault="001B4284" w:rsidP="001B4284">
            <w:pPr>
              <w:jc w:val="center"/>
              <w:rPr>
                <w:sz w:val="18"/>
                <w:szCs w:val="18"/>
              </w:rPr>
            </w:pPr>
            <w:r w:rsidRPr="00455D43">
              <w:rPr>
                <w:sz w:val="18"/>
                <w:szCs w:val="18"/>
              </w:rPr>
              <w:t>20.</w:t>
            </w:r>
          </w:p>
        </w:tc>
        <w:tc>
          <w:tcPr>
            <w:tcW w:w="4678" w:type="dxa"/>
            <w:tcBorders>
              <w:top w:val="nil"/>
              <w:left w:val="nil"/>
              <w:bottom w:val="single" w:sz="4" w:space="0" w:color="auto"/>
              <w:right w:val="single" w:sz="4" w:space="0" w:color="auto"/>
            </w:tcBorders>
            <w:shd w:val="clear" w:color="auto" w:fill="auto"/>
            <w:vAlign w:val="center"/>
            <w:hideMark/>
          </w:tcPr>
          <w:p w14:paraId="415B31E0" w14:textId="77777777" w:rsidR="001B4284" w:rsidRPr="00455D43" w:rsidRDefault="001B4284" w:rsidP="001B4284">
            <w:pPr>
              <w:rPr>
                <w:color w:val="000000"/>
                <w:sz w:val="18"/>
                <w:szCs w:val="18"/>
              </w:rPr>
            </w:pPr>
            <w:r w:rsidRPr="00455D43">
              <w:rPr>
                <w:color w:val="000000"/>
                <w:sz w:val="18"/>
                <w:szCs w:val="18"/>
              </w:rPr>
              <w:t>LD 01845-005-000 - Projekt zaštite od poplava</w:t>
            </w:r>
          </w:p>
        </w:tc>
        <w:tc>
          <w:tcPr>
            <w:tcW w:w="884" w:type="dxa"/>
            <w:tcBorders>
              <w:top w:val="nil"/>
              <w:left w:val="nil"/>
              <w:bottom w:val="single" w:sz="4" w:space="0" w:color="auto"/>
              <w:right w:val="single" w:sz="4" w:space="0" w:color="auto"/>
            </w:tcBorders>
            <w:shd w:val="clear" w:color="auto" w:fill="auto"/>
            <w:noWrap/>
            <w:vAlign w:val="center"/>
            <w:hideMark/>
          </w:tcPr>
          <w:p w14:paraId="6295445A"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136C12B4"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34164D59" w14:textId="77777777" w:rsidR="001B4284" w:rsidRPr="00455D43" w:rsidRDefault="001B4284" w:rsidP="001B4284">
            <w:pPr>
              <w:jc w:val="right"/>
              <w:rPr>
                <w:color w:val="000000"/>
                <w:sz w:val="18"/>
                <w:szCs w:val="18"/>
              </w:rPr>
            </w:pPr>
            <w:r w:rsidRPr="00455D43">
              <w:rPr>
                <w:color w:val="000000"/>
                <w:sz w:val="18"/>
                <w:szCs w:val="18"/>
              </w:rPr>
              <w:t>5.691.766,69</w:t>
            </w:r>
          </w:p>
        </w:tc>
      </w:tr>
      <w:tr w:rsidR="001B4284" w:rsidRPr="00455D43" w14:paraId="6E159449" w14:textId="77777777" w:rsidTr="000F0D22">
        <w:trPr>
          <w:trHeight w:val="51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1ED9E61" w14:textId="77777777" w:rsidR="001B4284" w:rsidRPr="00455D43" w:rsidRDefault="001B4284" w:rsidP="001B4284">
            <w:pPr>
              <w:jc w:val="center"/>
              <w:rPr>
                <w:sz w:val="18"/>
                <w:szCs w:val="18"/>
              </w:rPr>
            </w:pPr>
            <w:r w:rsidRPr="00455D43">
              <w:rPr>
                <w:sz w:val="18"/>
                <w:szCs w:val="18"/>
              </w:rPr>
              <w:t>21.</w:t>
            </w:r>
          </w:p>
        </w:tc>
        <w:tc>
          <w:tcPr>
            <w:tcW w:w="4678" w:type="dxa"/>
            <w:tcBorders>
              <w:top w:val="nil"/>
              <w:left w:val="nil"/>
              <w:bottom w:val="single" w:sz="4" w:space="0" w:color="auto"/>
              <w:right w:val="single" w:sz="4" w:space="0" w:color="auto"/>
            </w:tcBorders>
            <w:shd w:val="clear" w:color="auto" w:fill="auto"/>
            <w:vAlign w:val="center"/>
            <w:hideMark/>
          </w:tcPr>
          <w:p w14:paraId="33E1BAC4" w14:textId="77777777" w:rsidR="001B4284" w:rsidRPr="00455D43" w:rsidRDefault="001B4284" w:rsidP="001B4284">
            <w:pPr>
              <w:rPr>
                <w:color w:val="000000"/>
                <w:sz w:val="18"/>
                <w:szCs w:val="18"/>
              </w:rPr>
            </w:pPr>
            <w:r w:rsidRPr="00455D43">
              <w:rPr>
                <w:color w:val="000000"/>
                <w:sz w:val="18"/>
                <w:szCs w:val="18"/>
              </w:rPr>
              <w:t xml:space="preserve">LD 2056-001-000 - Podrška mjerama u Republici Hrvatskoj, povezanih s </w:t>
            </w:r>
            <w:proofErr w:type="spellStart"/>
            <w:r w:rsidRPr="00455D43">
              <w:rPr>
                <w:color w:val="000000"/>
                <w:sz w:val="18"/>
                <w:szCs w:val="18"/>
              </w:rPr>
              <w:t>pandemijom</w:t>
            </w:r>
            <w:proofErr w:type="spellEnd"/>
            <w:r w:rsidRPr="00455D43">
              <w:rPr>
                <w:color w:val="000000"/>
                <w:sz w:val="18"/>
                <w:szCs w:val="18"/>
              </w:rPr>
              <w:t xml:space="preserve"> bolesti COVID-19 – instrument financiranja javnog sektora</w:t>
            </w:r>
          </w:p>
        </w:tc>
        <w:tc>
          <w:tcPr>
            <w:tcW w:w="884" w:type="dxa"/>
            <w:tcBorders>
              <w:top w:val="nil"/>
              <w:left w:val="nil"/>
              <w:bottom w:val="single" w:sz="4" w:space="0" w:color="auto"/>
              <w:right w:val="single" w:sz="4" w:space="0" w:color="auto"/>
            </w:tcBorders>
            <w:shd w:val="clear" w:color="auto" w:fill="auto"/>
            <w:noWrap/>
            <w:vAlign w:val="center"/>
            <w:hideMark/>
          </w:tcPr>
          <w:p w14:paraId="75C6CEA3"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66F23075"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7439F269" w14:textId="77777777" w:rsidR="001B4284" w:rsidRPr="00455D43" w:rsidRDefault="001B4284" w:rsidP="001B4284">
            <w:pPr>
              <w:jc w:val="right"/>
              <w:rPr>
                <w:color w:val="000000"/>
                <w:sz w:val="18"/>
                <w:szCs w:val="18"/>
              </w:rPr>
            </w:pPr>
            <w:r w:rsidRPr="00455D43">
              <w:rPr>
                <w:color w:val="000000"/>
                <w:sz w:val="18"/>
                <w:szCs w:val="18"/>
              </w:rPr>
              <w:t>150.000.000,00</w:t>
            </w:r>
          </w:p>
        </w:tc>
      </w:tr>
      <w:tr w:rsidR="001B4284" w:rsidRPr="00455D43" w14:paraId="143CEEC5" w14:textId="77777777" w:rsidTr="000F0D22">
        <w:trPr>
          <w:trHeight w:val="51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CE6B552" w14:textId="77777777" w:rsidR="001B4284" w:rsidRPr="00455D43" w:rsidRDefault="001B4284" w:rsidP="001B4284">
            <w:pPr>
              <w:jc w:val="center"/>
              <w:rPr>
                <w:sz w:val="18"/>
                <w:szCs w:val="18"/>
              </w:rPr>
            </w:pPr>
            <w:r w:rsidRPr="00455D43">
              <w:rPr>
                <w:sz w:val="18"/>
                <w:szCs w:val="18"/>
              </w:rPr>
              <w:lastRenderedPageBreak/>
              <w:t>22.</w:t>
            </w:r>
          </w:p>
        </w:tc>
        <w:tc>
          <w:tcPr>
            <w:tcW w:w="4678" w:type="dxa"/>
            <w:tcBorders>
              <w:top w:val="nil"/>
              <w:left w:val="nil"/>
              <w:bottom w:val="single" w:sz="4" w:space="0" w:color="auto"/>
              <w:right w:val="single" w:sz="4" w:space="0" w:color="auto"/>
            </w:tcBorders>
            <w:shd w:val="clear" w:color="auto" w:fill="auto"/>
            <w:vAlign w:val="center"/>
            <w:hideMark/>
          </w:tcPr>
          <w:p w14:paraId="49C6EDEB" w14:textId="77777777" w:rsidR="001B4284" w:rsidRPr="00455D43" w:rsidRDefault="001B4284" w:rsidP="001B4284">
            <w:pPr>
              <w:rPr>
                <w:color w:val="000000"/>
                <w:sz w:val="18"/>
                <w:szCs w:val="18"/>
              </w:rPr>
            </w:pPr>
            <w:r w:rsidRPr="00455D43">
              <w:rPr>
                <w:color w:val="000000"/>
                <w:sz w:val="18"/>
                <w:szCs w:val="18"/>
              </w:rPr>
              <w:t xml:space="preserve">LD 2056-002-000 - Podrška mjerama u Republici Hrvatskoj, povezanih s </w:t>
            </w:r>
            <w:proofErr w:type="spellStart"/>
            <w:r w:rsidRPr="00455D43">
              <w:rPr>
                <w:color w:val="000000"/>
                <w:sz w:val="18"/>
                <w:szCs w:val="18"/>
              </w:rPr>
              <w:t>pandemijom</w:t>
            </w:r>
            <w:proofErr w:type="spellEnd"/>
            <w:r w:rsidRPr="00455D43">
              <w:rPr>
                <w:color w:val="000000"/>
                <w:sz w:val="18"/>
                <w:szCs w:val="18"/>
              </w:rPr>
              <w:t xml:space="preserve"> bolesti COVID-19 – instrument financiranja javnog sektora</w:t>
            </w:r>
          </w:p>
        </w:tc>
        <w:tc>
          <w:tcPr>
            <w:tcW w:w="884" w:type="dxa"/>
            <w:tcBorders>
              <w:top w:val="nil"/>
              <w:left w:val="nil"/>
              <w:bottom w:val="single" w:sz="4" w:space="0" w:color="auto"/>
              <w:right w:val="single" w:sz="4" w:space="0" w:color="auto"/>
            </w:tcBorders>
            <w:shd w:val="clear" w:color="auto" w:fill="auto"/>
            <w:noWrap/>
            <w:vAlign w:val="center"/>
            <w:hideMark/>
          </w:tcPr>
          <w:p w14:paraId="6FA2361F" w14:textId="77777777" w:rsidR="001B4284" w:rsidRPr="00455D43" w:rsidRDefault="001B4284" w:rsidP="001B4284">
            <w:pPr>
              <w:jc w:val="center"/>
              <w:rPr>
                <w:color w:val="000000"/>
                <w:sz w:val="18"/>
                <w:szCs w:val="18"/>
              </w:rPr>
            </w:pPr>
            <w:r w:rsidRPr="00455D43">
              <w:rPr>
                <w:color w:val="000000"/>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3D0336BA"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3F5753F7" w14:textId="77777777" w:rsidR="001B4284" w:rsidRPr="00455D43" w:rsidRDefault="001B4284" w:rsidP="001B4284">
            <w:pPr>
              <w:jc w:val="right"/>
              <w:rPr>
                <w:color w:val="000000"/>
                <w:sz w:val="18"/>
                <w:szCs w:val="18"/>
              </w:rPr>
            </w:pPr>
            <w:r w:rsidRPr="00455D43">
              <w:rPr>
                <w:color w:val="000000"/>
                <w:sz w:val="18"/>
                <w:szCs w:val="18"/>
              </w:rPr>
              <w:t>50.000.000,00</w:t>
            </w:r>
          </w:p>
        </w:tc>
      </w:tr>
      <w:tr w:rsidR="001B4284" w:rsidRPr="00455D43" w14:paraId="27F9BBD7" w14:textId="77777777" w:rsidTr="000F0D22">
        <w:trPr>
          <w:trHeight w:val="315"/>
          <w:jc w:val="right"/>
        </w:trPr>
        <w:tc>
          <w:tcPr>
            <w:tcW w:w="99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00A0AC59" w14:textId="77777777" w:rsidR="001B4284" w:rsidRPr="00455D43" w:rsidRDefault="001B4284" w:rsidP="001B4284">
            <w:pPr>
              <w:jc w:val="center"/>
              <w:rPr>
                <w:b/>
                <w:bCs/>
                <w:sz w:val="18"/>
                <w:szCs w:val="18"/>
              </w:rPr>
            </w:pPr>
            <w:r w:rsidRPr="00455D43">
              <w:rPr>
                <w:b/>
                <w:bCs/>
                <w:sz w:val="18"/>
                <w:szCs w:val="18"/>
              </w:rPr>
              <w:t>UKUPNO</w:t>
            </w:r>
          </w:p>
        </w:tc>
        <w:tc>
          <w:tcPr>
            <w:tcW w:w="4678" w:type="dxa"/>
            <w:tcBorders>
              <w:top w:val="double" w:sz="6" w:space="0" w:color="auto"/>
              <w:left w:val="nil"/>
              <w:bottom w:val="double" w:sz="6" w:space="0" w:color="auto"/>
              <w:right w:val="double" w:sz="6" w:space="0" w:color="auto"/>
            </w:tcBorders>
            <w:shd w:val="clear" w:color="auto" w:fill="auto"/>
            <w:noWrap/>
            <w:vAlign w:val="center"/>
            <w:hideMark/>
          </w:tcPr>
          <w:p w14:paraId="2F008F53" w14:textId="77777777" w:rsidR="001B4284" w:rsidRPr="00455D43" w:rsidRDefault="001B4284" w:rsidP="001B4284">
            <w:pPr>
              <w:rPr>
                <w:b/>
                <w:bCs/>
                <w:sz w:val="18"/>
                <w:szCs w:val="18"/>
              </w:rPr>
            </w:pPr>
            <w:r w:rsidRPr="00455D43">
              <w:rPr>
                <w:b/>
                <w:bCs/>
                <w:sz w:val="18"/>
                <w:szCs w:val="18"/>
              </w:rPr>
              <w:t> </w:t>
            </w:r>
          </w:p>
        </w:tc>
        <w:tc>
          <w:tcPr>
            <w:tcW w:w="884" w:type="dxa"/>
            <w:tcBorders>
              <w:top w:val="double" w:sz="6" w:space="0" w:color="auto"/>
              <w:left w:val="nil"/>
              <w:bottom w:val="double" w:sz="6" w:space="0" w:color="auto"/>
              <w:right w:val="double" w:sz="6" w:space="0" w:color="auto"/>
            </w:tcBorders>
            <w:shd w:val="clear" w:color="auto" w:fill="auto"/>
            <w:noWrap/>
            <w:vAlign w:val="center"/>
            <w:hideMark/>
          </w:tcPr>
          <w:p w14:paraId="43873773" w14:textId="77777777" w:rsidR="001B4284" w:rsidRPr="00455D43" w:rsidRDefault="001B4284" w:rsidP="001B4284">
            <w:pPr>
              <w:jc w:val="center"/>
              <w:rPr>
                <w:b/>
                <w:bCs/>
                <w:sz w:val="18"/>
                <w:szCs w:val="18"/>
              </w:rPr>
            </w:pPr>
            <w:r w:rsidRPr="00455D43">
              <w:rPr>
                <w:b/>
                <w:bCs/>
                <w:sz w:val="18"/>
                <w:szCs w:val="18"/>
              </w:rPr>
              <w:t>CEB</w:t>
            </w:r>
          </w:p>
        </w:tc>
        <w:tc>
          <w:tcPr>
            <w:tcW w:w="910" w:type="dxa"/>
            <w:tcBorders>
              <w:top w:val="double" w:sz="6" w:space="0" w:color="auto"/>
              <w:left w:val="nil"/>
              <w:bottom w:val="double" w:sz="6" w:space="0" w:color="auto"/>
              <w:right w:val="double" w:sz="6" w:space="0" w:color="auto"/>
            </w:tcBorders>
            <w:shd w:val="clear" w:color="auto" w:fill="auto"/>
            <w:noWrap/>
            <w:vAlign w:val="center"/>
            <w:hideMark/>
          </w:tcPr>
          <w:p w14:paraId="35670305" w14:textId="77777777" w:rsidR="001B4284" w:rsidRPr="00455D43" w:rsidRDefault="001B4284" w:rsidP="001B4284">
            <w:pPr>
              <w:jc w:val="center"/>
              <w:rPr>
                <w:b/>
                <w:bCs/>
                <w:sz w:val="18"/>
                <w:szCs w:val="18"/>
              </w:rPr>
            </w:pPr>
            <w:r w:rsidRPr="00455D43">
              <w:rPr>
                <w:b/>
                <w:bCs/>
                <w:sz w:val="18"/>
                <w:szCs w:val="18"/>
              </w:rPr>
              <w:t>EUR</w:t>
            </w:r>
          </w:p>
        </w:tc>
        <w:tc>
          <w:tcPr>
            <w:tcW w:w="1883" w:type="dxa"/>
            <w:tcBorders>
              <w:top w:val="double" w:sz="6" w:space="0" w:color="auto"/>
              <w:left w:val="nil"/>
              <w:bottom w:val="double" w:sz="6" w:space="0" w:color="auto"/>
              <w:right w:val="double" w:sz="6" w:space="0" w:color="auto"/>
            </w:tcBorders>
            <w:shd w:val="clear" w:color="auto" w:fill="auto"/>
            <w:noWrap/>
            <w:vAlign w:val="center"/>
            <w:hideMark/>
          </w:tcPr>
          <w:p w14:paraId="4BEB9681" w14:textId="77777777" w:rsidR="001B4284" w:rsidRPr="00455D43" w:rsidRDefault="001B4284" w:rsidP="001B4284">
            <w:pPr>
              <w:jc w:val="right"/>
              <w:rPr>
                <w:b/>
                <w:bCs/>
                <w:sz w:val="18"/>
                <w:szCs w:val="18"/>
              </w:rPr>
            </w:pPr>
            <w:r w:rsidRPr="00455D43">
              <w:rPr>
                <w:b/>
                <w:bCs/>
                <w:sz w:val="18"/>
                <w:szCs w:val="18"/>
              </w:rPr>
              <w:t>235.407.983,52</w:t>
            </w:r>
          </w:p>
        </w:tc>
      </w:tr>
      <w:tr w:rsidR="001B4284" w:rsidRPr="00455D43" w14:paraId="13F798CF" w14:textId="77777777" w:rsidTr="000F0D22">
        <w:trPr>
          <w:trHeight w:val="255"/>
          <w:jc w:val="right"/>
        </w:trPr>
        <w:tc>
          <w:tcPr>
            <w:tcW w:w="996" w:type="dxa"/>
            <w:tcBorders>
              <w:top w:val="nil"/>
              <w:left w:val="nil"/>
              <w:bottom w:val="single" w:sz="4" w:space="0" w:color="auto"/>
              <w:right w:val="nil"/>
            </w:tcBorders>
            <w:shd w:val="clear" w:color="auto" w:fill="auto"/>
            <w:noWrap/>
            <w:vAlign w:val="center"/>
            <w:hideMark/>
          </w:tcPr>
          <w:p w14:paraId="32A7ECF1" w14:textId="77777777" w:rsidR="001B4284" w:rsidRPr="00455D43" w:rsidRDefault="001B4284" w:rsidP="001B4284">
            <w:pPr>
              <w:jc w:val="center"/>
              <w:rPr>
                <w:color w:val="000000"/>
                <w:sz w:val="18"/>
                <w:szCs w:val="18"/>
              </w:rPr>
            </w:pPr>
            <w:r w:rsidRPr="00455D43">
              <w:rPr>
                <w:color w:val="000000"/>
                <w:sz w:val="18"/>
                <w:szCs w:val="18"/>
              </w:rPr>
              <w:t> </w:t>
            </w:r>
          </w:p>
        </w:tc>
        <w:tc>
          <w:tcPr>
            <w:tcW w:w="4678" w:type="dxa"/>
            <w:tcBorders>
              <w:top w:val="nil"/>
              <w:left w:val="nil"/>
              <w:bottom w:val="single" w:sz="4" w:space="0" w:color="auto"/>
              <w:right w:val="nil"/>
            </w:tcBorders>
            <w:shd w:val="clear" w:color="auto" w:fill="auto"/>
            <w:noWrap/>
            <w:vAlign w:val="center"/>
            <w:hideMark/>
          </w:tcPr>
          <w:p w14:paraId="6F39981D" w14:textId="77777777" w:rsidR="001B4284" w:rsidRPr="00455D43" w:rsidRDefault="001B4284" w:rsidP="001B4284">
            <w:pPr>
              <w:rPr>
                <w:color w:val="000000"/>
                <w:sz w:val="18"/>
                <w:szCs w:val="18"/>
              </w:rPr>
            </w:pPr>
            <w:r w:rsidRPr="00455D43">
              <w:rPr>
                <w:color w:val="000000"/>
                <w:sz w:val="18"/>
                <w:szCs w:val="18"/>
              </w:rPr>
              <w:t> </w:t>
            </w:r>
          </w:p>
        </w:tc>
        <w:tc>
          <w:tcPr>
            <w:tcW w:w="884" w:type="dxa"/>
            <w:tcBorders>
              <w:top w:val="nil"/>
              <w:left w:val="nil"/>
              <w:bottom w:val="single" w:sz="4" w:space="0" w:color="auto"/>
              <w:right w:val="nil"/>
            </w:tcBorders>
            <w:shd w:val="clear" w:color="auto" w:fill="auto"/>
            <w:noWrap/>
            <w:vAlign w:val="center"/>
            <w:hideMark/>
          </w:tcPr>
          <w:p w14:paraId="0F8D8414" w14:textId="77777777" w:rsidR="001B4284" w:rsidRPr="00455D43" w:rsidRDefault="001B4284" w:rsidP="001B4284">
            <w:pPr>
              <w:jc w:val="center"/>
              <w:rPr>
                <w:color w:val="000000"/>
                <w:sz w:val="18"/>
                <w:szCs w:val="18"/>
              </w:rPr>
            </w:pPr>
            <w:r w:rsidRPr="00455D43">
              <w:rPr>
                <w:color w:val="000000"/>
                <w:sz w:val="18"/>
                <w:szCs w:val="18"/>
              </w:rPr>
              <w:t> </w:t>
            </w:r>
          </w:p>
        </w:tc>
        <w:tc>
          <w:tcPr>
            <w:tcW w:w="910" w:type="dxa"/>
            <w:tcBorders>
              <w:top w:val="nil"/>
              <w:left w:val="nil"/>
              <w:bottom w:val="single" w:sz="4" w:space="0" w:color="auto"/>
              <w:right w:val="nil"/>
            </w:tcBorders>
            <w:shd w:val="clear" w:color="auto" w:fill="auto"/>
            <w:noWrap/>
            <w:vAlign w:val="center"/>
            <w:hideMark/>
          </w:tcPr>
          <w:p w14:paraId="4310AA57" w14:textId="77777777" w:rsidR="001B4284" w:rsidRPr="00455D43" w:rsidRDefault="001B4284" w:rsidP="001B4284">
            <w:pPr>
              <w:jc w:val="center"/>
              <w:rPr>
                <w:color w:val="000000"/>
                <w:sz w:val="18"/>
                <w:szCs w:val="18"/>
              </w:rPr>
            </w:pPr>
            <w:r w:rsidRPr="00455D43">
              <w:rPr>
                <w:color w:val="000000"/>
                <w:sz w:val="18"/>
                <w:szCs w:val="18"/>
              </w:rPr>
              <w:t> </w:t>
            </w:r>
          </w:p>
        </w:tc>
        <w:tc>
          <w:tcPr>
            <w:tcW w:w="1883" w:type="dxa"/>
            <w:tcBorders>
              <w:top w:val="nil"/>
              <w:left w:val="nil"/>
              <w:bottom w:val="single" w:sz="4" w:space="0" w:color="auto"/>
              <w:right w:val="nil"/>
            </w:tcBorders>
            <w:shd w:val="clear" w:color="auto" w:fill="auto"/>
            <w:noWrap/>
            <w:vAlign w:val="center"/>
            <w:hideMark/>
          </w:tcPr>
          <w:p w14:paraId="7163927C" w14:textId="77777777" w:rsidR="001B4284" w:rsidRPr="00455D43" w:rsidRDefault="001B4284" w:rsidP="001B4284">
            <w:pPr>
              <w:jc w:val="right"/>
              <w:rPr>
                <w:color w:val="000000"/>
                <w:sz w:val="18"/>
                <w:szCs w:val="18"/>
              </w:rPr>
            </w:pPr>
            <w:r w:rsidRPr="00455D43">
              <w:rPr>
                <w:color w:val="000000"/>
                <w:sz w:val="18"/>
                <w:szCs w:val="18"/>
              </w:rPr>
              <w:t> </w:t>
            </w:r>
          </w:p>
        </w:tc>
      </w:tr>
      <w:tr w:rsidR="001B4284" w:rsidRPr="00455D43" w14:paraId="7C134B1E"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CADF71F" w14:textId="77777777" w:rsidR="001B4284" w:rsidRPr="00455D43" w:rsidRDefault="001B4284" w:rsidP="001B4284">
            <w:pPr>
              <w:jc w:val="center"/>
              <w:rPr>
                <w:sz w:val="18"/>
                <w:szCs w:val="18"/>
              </w:rPr>
            </w:pPr>
            <w:r w:rsidRPr="00455D43">
              <w:rPr>
                <w:sz w:val="18"/>
                <w:szCs w:val="18"/>
              </w:rPr>
              <w:t>23.</w:t>
            </w:r>
          </w:p>
        </w:tc>
        <w:tc>
          <w:tcPr>
            <w:tcW w:w="4678" w:type="dxa"/>
            <w:tcBorders>
              <w:top w:val="nil"/>
              <w:left w:val="nil"/>
              <w:bottom w:val="single" w:sz="4" w:space="0" w:color="auto"/>
              <w:right w:val="single" w:sz="4" w:space="0" w:color="auto"/>
            </w:tcBorders>
            <w:shd w:val="clear" w:color="auto" w:fill="auto"/>
            <w:vAlign w:val="center"/>
            <w:hideMark/>
          </w:tcPr>
          <w:p w14:paraId="58EE2365" w14:textId="77777777" w:rsidR="001B4284" w:rsidRPr="00455D43" w:rsidRDefault="001B4284" w:rsidP="001B4284">
            <w:pPr>
              <w:rPr>
                <w:color w:val="000000"/>
                <w:sz w:val="18"/>
                <w:szCs w:val="18"/>
              </w:rPr>
            </w:pPr>
            <w:r w:rsidRPr="00455D43">
              <w:rPr>
                <w:color w:val="000000"/>
                <w:sz w:val="18"/>
                <w:szCs w:val="18"/>
              </w:rPr>
              <w:t>75980-HR IFL FS - Projekt unapređenja hitne medicinske pomoći i investicijskog planiranja u zdravstvu</w:t>
            </w:r>
          </w:p>
        </w:tc>
        <w:tc>
          <w:tcPr>
            <w:tcW w:w="884" w:type="dxa"/>
            <w:tcBorders>
              <w:top w:val="nil"/>
              <w:left w:val="nil"/>
              <w:bottom w:val="single" w:sz="4" w:space="0" w:color="auto"/>
              <w:right w:val="single" w:sz="4" w:space="0" w:color="auto"/>
            </w:tcBorders>
            <w:shd w:val="clear" w:color="auto" w:fill="auto"/>
            <w:noWrap/>
            <w:vAlign w:val="center"/>
            <w:hideMark/>
          </w:tcPr>
          <w:p w14:paraId="42D0D04E" w14:textId="77777777" w:rsidR="001B4284" w:rsidRPr="00455D43" w:rsidRDefault="001B4284" w:rsidP="001B4284">
            <w:pPr>
              <w:jc w:val="center"/>
              <w:rPr>
                <w:color w:val="000000"/>
                <w:sz w:val="18"/>
                <w:szCs w:val="18"/>
              </w:rPr>
            </w:pPr>
            <w:r w:rsidRPr="00455D43">
              <w:rPr>
                <w:color w:val="000000"/>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5FD4086A"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6453C0AB" w14:textId="77777777" w:rsidR="001B4284" w:rsidRPr="00455D43" w:rsidRDefault="001B4284" w:rsidP="001B4284">
            <w:pPr>
              <w:jc w:val="right"/>
              <w:rPr>
                <w:color w:val="000000"/>
                <w:sz w:val="18"/>
                <w:szCs w:val="18"/>
              </w:rPr>
            </w:pPr>
            <w:r w:rsidRPr="00455D43">
              <w:rPr>
                <w:color w:val="000000"/>
                <w:sz w:val="18"/>
                <w:szCs w:val="18"/>
              </w:rPr>
              <w:t>9.205.988,61</w:t>
            </w:r>
          </w:p>
        </w:tc>
      </w:tr>
      <w:tr w:rsidR="001B4284" w:rsidRPr="00455D43" w14:paraId="2DCA4C03"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B35A66D" w14:textId="77777777" w:rsidR="001B4284" w:rsidRPr="00455D43" w:rsidRDefault="001B4284" w:rsidP="001B4284">
            <w:pPr>
              <w:jc w:val="center"/>
              <w:rPr>
                <w:sz w:val="18"/>
                <w:szCs w:val="18"/>
              </w:rPr>
            </w:pPr>
            <w:r w:rsidRPr="00455D43">
              <w:rPr>
                <w:sz w:val="18"/>
                <w:szCs w:val="18"/>
              </w:rPr>
              <w:t>24.</w:t>
            </w:r>
          </w:p>
        </w:tc>
        <w:tc>
          <w:tcPr>
            <w:tcW w:w="4678" w:type="dxa"/>
            <w:tcBorders>
              <w:top w:val="nil"/>
              <w:left w:val="nil"/>
              <w:bottom w:val="single" w:sz="4" w:space="0" w:color="auto"/>
              <w:right w:val="single" w:sz="4" w:space="0" w:color="auto"/>
            </w:tcBorders>
            <w:shd w:val="clear" w:color="auto" w:fill="auto"/>
            <w:vAlign w:val="center"/>
            <w:hideMark/>
          </w:tcPr>
          <w:p w14:paraId="243E6610" w14:textId="77777777" w:rsidR="001B4284" w:rsidRPr="00455D43" w:rsidRDefault="001B4284" w:rsidP="001B4284">
            <w:pPr>
              <w:rPr>
                <w:color w:val="000000"/>
                <w:sz w:val="18"/>
                <w:szCs w:val="18"/>
              </w:rPr>
            </w:pPr>
            <w:r w:rsidRPr="00455D43">
              <w:rPr>
                <w:color w:val="000000"/>
                <w:sz w:val="18"/>
                <w:szCs w:val="18"/>
              </w:rPr>
              <w:t>78460-HR IFL FS DPL - Zajam za razvojnu politiku u fiskalnom, socijalnom i financijskom sektoru</w:t>
            </w:r>
          </w:p>
        </w:tc>
        <w:tc>
          <w:tcPr>
            <w:tcW w:w="884" w:type="dxa"/>
            <w:tcBorders>
              <w:top w:val="nil"/>
              <w:left w:val="nil"/>
              <w:bottom w:val="single" w:sz="4" w:space="0" w:color="auto"/>
              <w:right w:val="single" w:sz="4" w:space="0" w:color="auto"/>
            </w:tcBorders>
            <w:shd w:val="clear" w:color="auto" w:fill="auto"/>
            <w:noWrap/>
            <w:vAlign w:val="center"/>
            <w:hideMark/>
          </w:tcPr>
          <w:p w14:paraId="08DE2BB6" w14:textId="77777777" w:rsidR="001B4284" w:rsidRPr="00455D43" w:rsidRDefault="001B4284" w:rsidP="001B4284">
            <w:pPr>
              <w:jc w:val="center"/>
              <w:rPr>
                <w:color w:val="000000"/>
                <w:sz w:val="18"/>
                <w:szCs w:val="18"/>
              </w:rPr>
            </w:pPr>
            <w:r w:rsidRPr="00455D43">
              <w:rPr>
                <w:color w:val="000000"/>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4E3FABED"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7BB36F85" w14:textId="77777777" w:rsidR="001B4284" w:rsidRPr="00455D43" w:rsidRDefault="001B4284" w:rsidP="001B4284">
            <w:pPr>
              <w:jc w:val="right"/>
              <w:rPr>
                <w:color w:val="000000"/>
                <w:sz w:val="18"/>
                <w:szCs w:val="18"/>
              </w:rPr>
            </w:pPr>
            <w:r w:rsidRPr="00455D43">
              <w:rPr>
                <w:color w:val="000000"/>
                <w:sz w:val="18"/>
                <w:szCs w:val="18"/>
              </w:rPr>
              <w:t>200.000.000,00</w:t>
            </w:r>
          </w:p>
        </w:tc>
      </w:tr>
      <w:tr w:rsidR="001B4284" w:rsidRPr="00455D43" w14:paraId="17A7D6D8"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4D2CAF5" w14:textId="77777777" w:rsidR="001B4284" w:rsidRPr="00455D43" w:rsidRDefault="001B4284" w:rsidP="001B4284">
            <w:pPr>
              <w:jc w:val="center"/>
              <w:rPr>
                <w:sz w:val="18"/>
                <w:szCs w:val="18"/>
              </w:rPr>
            </w:pPr>
            <w:r w:rsidRPr="00455D43">
              <w:rPr>
                <w:sz w:val="18"/>
                <w:szCs w:val="18"/>
              </w:rPr>
              <w:t>25.</w:t>
            </w:r>
          </w:p>
        </w:tc>
        <w:tc>
          <w:tcPr>
            <w:tcW w:w="4678" w:type="dxa"/>
            <w:tcBorders>
              <w:top w:val="nil"/>
              <w:left w:val="nil"/>
              <w:bottom w:val="single" w:sz="4" w:space="0" w:color="auto"/>
              <w:right w:val="single" w:sz="4" w:space="0" w:color="auto"/>
            </w:tcBorders>
            <w:shd w:val="clear" w:color="auto" w:fill="auto"/>
            <w:vAlign w:val="center"/>
            <w:hideMark/>
          </w:tcPr>
          <w:p w14:paraId="65C0F7DC" w14:textId="77777777" w:rsidR="001B4284" w:rsidRPr="00455D43" w:rsidRDefault="001B4284" w:rsidP="001B4284">
            <w:pPr>
              <w:rPr>
                <w:color w:val="000000"/>
                <w:sz w:val="18"/>
                <w:szCs w:val="18"/>
              </w:rPr>
            </w:pPr>
            <w:r w:rsidRPr="00455D43">
              <w:rPr>
                <w:color w:val="000000"/>
                <w:sz w:val="18"/>
                <w:szCs w:val="18"/>
              </w:rPr>
              <w:t>78880-HR IFL FS - Projekt potpore pravosudnom sektoru</w:t>
            </w:r>
          </w:p>
        </w:tc>
        <w:tc>
          <w:tcPr>
            <w:tcW w:w="884" w:type="dxa"/>
            <w:tcBorders>
              <w:top w:val="nil"/>
              <w:left w:val="nil"/>
              <w:bottom w:val="single" w:sz="4" w:space="0" w:color="auto"/>
              <w:right w:val="single" w:sz="4" w:space="0" w:color="auto"/>
            </w:tcBorders>
            <w:shd w:val="clear" w:color="auto" w:fill="auto"/>
            <w:noWrap/>
            <w:vAlign w:val="center"/>
            <w:hideMark/>
          </w:tcPr>
          <w:p w14:paraId="36F1B17A" w14:textId="77777777" w:rsidR="001B4284" w:rsidRPr="00455D43" w:rsidRDefault="001B4284" w:rsidP="001B4284">
            <w:pPr>
              <w:jc w:val="center"/>
              <w:rPr>
                <w:color w:val="000000"/>
                <w:sz w:val="18"/>
                <w:szCs w:val="18"/>
              </w:rPr>
            </w:pPr>
            <w:r w:rsidRPr="00455D43">
              <w:rPr>
                <w:color w:val="000000"/>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71326724"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35ABB768" w14:textId="77777777" w:rsidR="001B4284" w:rsidRPr="00455D43" w:rsidRDefault="001B4284" w:rsidP="001B4284">
            <w:pPr>
              <w:jc w:val="right"/>
              <w:rPr>
                <w:color w:val="000000"/>
                <w:sz w:val="18"/>
                <w:szCs w:val="18"/>
              </w:rPr>
            </w:pPr>
            <w:r w:rsidRPr="00455D43">
              <w:rPr>
                <w:color w:val="000000"/>
                <w:sz w:val="18"/>
                <w:szCs w:val="18"/>
              </w:rPr>
              <w:t>16.702.650,32</w:t>
            </w:r>
          </w:p>
        </w:tc>
      </w:tr>
      <w:tr w:rsidR="001B4284" w:rsidRPr="00455D43" w14:paraId="150EF900" w14:textId="77777777" w:rsidTr="000F0D22">
        <w:trPr>
          <w:trHeight w:val="30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CE9C994" w14:textId="77777777" w:rsidR="001B4284" w:rsidRPr="00455D43" w:rsidRDefault="001B4284" w:rsidP="001B4284">
            <w:pPr>
              <w:jc w:val="center"/>
              <w:rPr>
                <w:sz w:val="18"/>
                <w:szCs w:val="18"/>
              </w:rPr>
            </w:pPr>
            <w:r w:rsidRPr="00455D43">
              <w:rPr>
                <w:sz w:val="18"/>
                <w:szCs w:val="18"/>
              </w:rPr>
              <w:t>26.</w:t>
            </w:r>
          </w:p>
        </w:tc>
        <w:tc>
          <w:tcPr>
            <w:tcW w:w="4678" w:type="dxa"/>
            <w:tcBorders>
              <w:top w:val="nil"/>
              <w:left w:val="nil"/>
              <w:bottom w:val="single" w:sz="4" w:space="0" w:color="auto"/>
              <w:right w:val="single" w:sz="4" w:space="0" w:color="auto"/>
            </w:tcBorders>
            <w:shd w:val="clear" w:color="auto" w:fill="auto"/>
            <w:vAlign w:val="center"/>
            <w:hideMark/>
          </w:tcPr>
          <w:p w14:paraId="4FE6F394" w14:textId="77777777" w:rsidR="001B4284" w:rsidRPr="00455D43" w:rsidRDefault="001B4284" w:rsidP="001B4284">
            <w:pPr>
              <w:rPr>
                <w:color w:val="000000"/>
                <w:sz w:val="18"/>
                <w:szCs w:val="18"/>
              </w:rPr>
            </w:pPr>
            <w:r w:rsidRPr="00455D43">
              <w:rPr>
                <w:color w:val="000000"/>
                <w:sz w:val="18"/>
                <w:szCs w:val="18"/>
              </w:rPr>
              <w:t>80210-HR IFL FS - Projekt integracije u EU Natura 2000</w:t>
            </w:r>
          </w:p>
        </w:tc>
        <w:tc>
          <w:tcPr>
            <w:tcW w:w="884" w:type="dxa"/>
            <w:tcBorders>
              <w:top w:val="nil"/>
              <w:left w:val="nil"/>
              <w:bottom w:val="single" w:sz="4" w:space="0" w:color="auto"/>
              <w:right w:val="single" w:sz="4" w:space="0" w:color="auto"/>
            </w:tcBorders>
            <w:shd w:val="clear" w:color="auto" w:fill="auto"/>
            <w:noWrap/>
            <w:vAlign w:val="center"/>
            <w:hideMark/>
          </w:tcPr>
          <w:p w14:paraId="6A1B532C" w14:textId="77777777" w:rsidR="001B4284" w:rsidRPr="00455D43" w:rsidRDefault="001B4284" w:rsidP="001B4284">
            <w:pPr>
              <w:jc w:val="center"/>
              <w:rPr>
                <w:color w:val="000000"/>
                <w:sz w:val="18"/>
                <w:szCs w:val="18"/>
              </w:rPr>
            </w:pPr>
            <w:r w:rsidRPr="00455D43">
              <w:rPr>
                <w:color w:val="000000"/>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3552BA18"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41B9EEE7" w14:textId="77777777" w:rsidR="001B4284" w:rsidRPr="00455D43" w:rsidRDefault="001B4284" w:rsidP="001B4284">
            <w:pPr>
              <w:jc w:val="right"/>
              <w:rPr>
                <w:color w:val="000000"/>
                <w:sz w:val="18"/>
                <w:szCs w:val="18"/>
              </w:rPr>
            </w:pPr>
            <w:r w:rsidRPr="00455D43">
              <w:rPr>
                <w:color w:val="000000"/>
                <w:sz w:val="18"/>
                <w:szCs w:val="18"/>
              </w:rPr>
              <w:t>8.421.620,34</w:t>
            </w:r>
          </w:p>
        </w:tc>
      </w:tr>
      <w:tr w:rsidR="001B4284" w:rsidRPr="00455D43" w14:paraId="1AB4C7A4" w14:textId="77777777" w:rsidTr="000F0D22">
        <w:trPr>
          <w:trHeight w:val="30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A7329BF" w14:textId="77777777" w:rsidR="001B4284" w:rsidRPr="00455D43" w:rsidRDefault="001B4284" w:rsidP="001B4284">
            <w:pPr>
              <w:jc w:val="center"/>
              <w:rPr>
                <w:sz w:val="18"/>
                <w:szCs w:val="18"/>
              </w:rPr>
            </w:pPr>
            <w:r w:rsidRPr="00455D43">
              <w:rPr>
                <w:sz w:val="18"/>
                <w:szCs w:val="18"/>
              </w:rPr>
              <w:t>27.</w:t>
            </w:r>
          </w:p>
        </w:tc>
        <w:tc>
          <w:tcPr>
            <w:tcW w:w="4678" w:type="dxa"/>
            <w:tcBorders>
              <w:top w:val="nil"/>
              <w:left w:val="nil"/>
              <w:bottom w:val="single" w:sz="4" w:space="0" w:color="auto"/>
              <w:right w:val="single" w:sz="4" w:space="0" w:color="auto"/>
            </w:tcBorders>
            <w:shd w:val="clear" w:color="auto" w:fill="auto"/>
            <w:vAlign w:val="center"/>
            <w:hideMark/>
          </w:tcPr>
          <w:p w14:paraId="2F157FCC" w14:textId="77777777" w:rsidR="001B4284" w:rsidRPr="00455D43" w:rsidRDefault="001B4284" w:rsidP="001B4284">
            <w:pPr>
              <w:rPr>
                <w:color w:val="000000"/>
                <w:sz w:val="18"/>
                <w:szCs w:val="18"/>
              </w:rPr>
            </w:pPr>
            <w:r w:rsidRPr="00455D43">
              <w:rPr>
                <w:color w:val="000000"/>
                <w:sz w:val="18"/>
                <w:szCs w:val="18"/>
              </w:rPr>
              <w:t>80630-HR IFL FS ERDPL - Zajam za razvojnu politiku gospodarskog oporavka</w:t>
            </w:r>
          </w:p>
        </w:tc>
        <w:tc>
          <w:tcPr>
            <w:tcW w:w="884" w:type="dxa"/>
            <w:tcBorders>
              <w:top w:val="nil"/>
              <w:left w:val="nil"/>
              <w:bottom w:val="single" w:sz="4" w:space="0" w:color="auto"/>
              <w:right w:val="single" w:sz="4" w:space="0" w:color="auto"/>
            </w:tcBorders>
            <w:shd w:val="clear" w:color="auto" w:fill="auto"/>
            <w:noWrap/>
            <w:vAlign w:val="center"/>
            <w:hideMark/>
          </w:tcPr>
          <w:p w14:paraId="66D46EE1" w14:textId="77777777" w:rsidR="001B4284" w:rsidRPr="00455D43" w:rsidRDefault="001B4284" w:rsidP="001B4284">
            <w:pPr>
              <w:jc w:val="center"/>
              <w:rPr>
                <w:color w:val="000000"/>
                <w:sz w:val="18"/>
                <w:szCs w:val="18"/>
              </w:rPr>
            </w:pPr>
            <w:r w:rsidRPr="00455D43">
              <w:rPr>
                <w:color w:val="000000"/>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7EAE894C"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08D62777" w14:textId="77777777" w:rsidR="001B4284" w:rsidRPr="00455D43" w:rsidRDefault="001B4284" w:rsidP="001B4284">
            <w:pPr>
              <w:jc w:val="right"/>
              <w:rPr>
                <w:color w:val="000000"/>
                <w:sz w:val="18"/>
                <w:szCs w:val="18"/>
              </w:rPr>
            </w:pPr>
            <w:r w:rsidRPr="00455D43">
              <w:rPr>
                <w:color w:val="000000"/>
                <w:sz w:val="18"/>
                <w:szCs w:val="18"/>
              </w:rPr>
              <w:t>150.000.000,00</w:t>
            </w:r>
          </w:p>
        </w:tc>
      </w:tr>
      <w:tr w:rsidR="001B4284" w:rsidRPr="00455D43" w14:paraId="16144E03"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45B9607" w14:textId="77777777" w:rsidR="001B4284" w:rsidRPr="00455D43" w:rsidRDefault="001B4284" w:rsidP="001B4284">
            <w:pPr>
              <w:jc w:val="center"/>
              <w:rPr>
                <w:sz w:val="18"/>
                <w:szCs w:val="18"/>
              </w:rPr>
            </w:pPr>
            <w:r w:rsidRPr="00455D43">
              <w:rPr>
                <w:sz w:val="18"/>
                <w:szCs w:val="18"/>
              </w:rPr>
              <w:t>28.</w:t>
            </w:r>
          </w:p>
        </w:tc>
        <w:tc>
          <w:tcPr>
            <w:tcW w:w="4678" w:type="dxa"/>
            <w:tcBorders>
              <w:top w:val="nil"/>
              <w:left w:val="nil"/>
              <w:bottom w:val="single" w:sz="4" w:space="0" w:color="auto"/>
              <w:right w:val="single" w:sz="4" w:space="0" w:color="auto"/>
            </w:tcBorders>
            <w:shd w:val="clear" w:color="auto" w:fill="auto"/>
            <w:vAlign w:val="center"/>
            <w:hideMark/>
          </w:tcPr>
          <w:p w14:paraId="68974DE7" w14:textId="77777777" w:rsidR="001B4284" w:rsidRPr="00455D43" w:rsidRDefault="001B4284" w:rsidP="001B4284">
            <w:pPr>
              <w:rPr>
                <w:color w:val="000000"/>
                <w:sz w:val="18"/>
                <w:szCs w:val="18"/>
              </w:rPr>
            </w:pPr>
            <w:r w:rsidRPr="00455D43">
              <w:rPr>
                <w:color w:val="000000"/>
                <w:sz w:val="18"/>
                <w:szCs w:val="18"/>
              </w:rPr>
              <w:t>80860-HR IFL FS - Projekt implementacije integriranog sustava zemljišne administracije</w:t>
            </w:r>
          </w:p>
        </w:tc>
        <w:tc>
          <w:tcPr>
            <w:tcW w:w="884" w:type="dxa"/>
            <w:tcBorders>
              <w:top w:val="nil"/>
              <w:left w:val="nil"/>
              <w:bottom w:val="single" w:sz="4" w:space="0" w:color="auto"/>
              <w:right w:val="single" w:sz="4" w:space="0" w:color="auto"/>
            </w:tcBorders>
            <w:shd w:val="clear" w:color="auto" w:fill="auto"/>
            <w:noWrap/>
            <w:vAlign w:val="center"/>
            <w:hideMark/>
          </w:tcPr>
          <w:p w14:paraId="0F947C13" w14:textId="77777777" w:rsidR="001B4284" w:rsidRPr="00455D43" w:rsidRDefault="001B4284" w:rsidP="001B4284">
            <w:pPr>
              <w:jc w:val="center"/>
              <w:rPr>
                <w:color w:val="000000"/>
                <w:sz w:val="18"/>
                <w:szCs w:val="18"/>
              </w:rPr>
            </w:pPr>
            <w:r w:rsidRPr="00455D43">
              <w:rPr>
                <w:color w:val="000000"/>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4E68A09F"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1EE6C4B0" w14:textId="77777777" w:rsidR="001B4284" w:rsidRPr="00455D43" w:rsidRDefault="001B4284" w:rsidP="001B4284">
            <w:pPr>
              <w:jc w:val="right"/>
              <w:rPr>
                <w:color w:val="000000"/>
                <w:sz w:val="18"/>
                <w:szCs w:val="18"/>
              </w:rPr>
            </w:pPr>
            <w:r w:rsidRPr="00455D43">
              <w:rPr>
                <w:color w:val="000000"/>
                <w:sz w:val="18"/>
                <w:szCs w:val="18"/>
              </w:rPr>
              <w:t>7.046.592,61</w:t>
            </w:r>
          </w:p>
        </w:tc>
      </w:tr>
      <w:tr w:rsidR="001B4284" w:rsidRPr="00455D43" w14:paraId="2F082F31"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40173CD" w14:textId="77777777" w:rsidR="001B4284" w:rsidRPr="00455D43" w:rsidRDefault="001B4284" w:rsidP="001B4284">
            <w:pPr>
              <w:jc w:val="center"/>
              <w:rPr>
                <w:sz w:val="18"/>
                <w:szCs w:val="18"/>
              </w:rPr>
            </w:pPr>
            <w:r w:rsidRPr="00455D43">
              <w:rPr>
                <w:sz w:val="18"/>
                <w:szCs w:val="18"/>
              </w:rPr>
              <w:t>29.</w:t>
            </w:r>
          </w:p>
        </w:tc>
        <w:tc>
          <w:tcPr>
            <w:tcW w:w="4678" w:type="dxa"/>
            <w:tcBorders>
              <w:top w:val="nil"/>
              <w:left w:val="nil"/>
              <w:bottom w:val="single" w:sz="4" w:space="0" w:color="auto"/>
              <w:right w:val="single" w:sz="4" w:space="0" w:color="auto"/>
            </w:tcBorders>
            <w:shd w:val="clear" w:color="auto" w:fill="auto"/>
            <w:vAlign w:val="center"/>
            <w:hideMark/>
          </w:tcPr>
          <w:p w14:paraId="66C4477A" w14:textId="77777777" w:rsidR="001B4284" w:rsidRPr="00455D43" w:rsidRDefault="001B4284" w:rsidP="001B4284">
            <w:pPr>
              <w:rPr>
                <w:color w:val="000000"/>
                <w:sz w:val="18"/>
                <w:szCs w:val="18"/>
              </w:rPr>
            </w:pPr>
            <w:r w:rsidRPr="00455D43">
              <w:rPr>
                <w:color w:val="000000"/>
                <w:sz w:val="18"/>
                <w:szCs w:val="18"/>
              </w:rPr>
              <w:t>83640-HR IFL FS ERDPL 2 - Drugi zajam za razvojnu politiku gospodarskog oporavka</w:t>
            </w:r>
          </w:p>
        </w:tc>
        <w:tc>
          <w:tcPr>
            <w:tcW w:w="884" w:type="dxa"/>
            <w:tcBorders>
              <w:top w:val="nil"/>
              <w:left w:val="nil"/>
              <w:bottom w:val="single" w:sz="4" w:space="0" w:color="auto"/>
              <w:right w:val="single" w:sz="4" w:space="0" w:color="auto"/>
            </w:tcBorders>
            <w:shd w:val="clear" w:color="auto" w:fill="auto"/>
            <w:noWrap/>
            <w:vAlign w:val="center"/>
            <w:hideMark/>
          </w:tcPr>
          <w:p w14:paraId="12F70284" w14:textId="77777777" w:rsidR="001B4284" w:rsidRPr="00455D43" w:rsidRDefault="001B4284" w:rsidP="001B4284">
            <w:pPr>
              <w:jc w:val="center"/>
              <w:rPr>
                <w:color w:val="000000"/>
                <w:sz w:val="18"/>
                <w:szCs w:val="18"/>
              </w:rPr>
            </w:pPr>
            <w:r w:rsidRPr="00455D43">
              <w:rPr>
                <w:color w:val="000000"/>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29284AB6"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09C6E9E8" w14:textId="77777777" w:rsidR="001B4284" w:rsidRPr="00455D43" w:rsidRDefault="001B4284" w:rsidP="001B4284">
            <w:pPr>
              <w:jc w:val="right"/>
              <w:rPr>
                <w:color w:val="000000"/>
                <w:sz w:val="18"/>
                <w:szCs w:val="18"/>
              </w:rPr>
            </w:pPr>
            <w:r w:rsidRPr="00455D43">
              <w:rPr>
                <w:color w:val="000000"/>
                <w:sz w:val="18"/>
                <w:szCs w:val="18"/>
              </w:rPr>
              <w:t>150.000.000,00</w:t>
            </w:r>
          </w:p>
        </w:tc>
      </w:tr>
      <w:tr w:rsidR="001B4284" w:rsidRPr="00455D43" w14:paraId="0642F0F9"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8073055" w14:textId="77777777" w:rsidR="001B4284" w:rsidRPr="00455D43" w:rsidRDefault="001B4284" w:rsidP="001B4284">
            <w:pPr>
              <w:jc w:val="center"/>
              <w:rPr>
                <w:sz w:val="18"/>
                <w:szCs w:val="18"/>
              </w:rPr>
            </w:pPr>
            <w:r w:rsidRPr="00455D43">
              <w:rPr>
                <w:sz w:val="18"/>
                <w:szCs w:val="18"/>
              </w:rPr>
              <w:t>30.</w:t>
            </w:r>
          </w:p>
        </w:tc>
        <w:tc>
          <w:tcPr>
            <w:tcW w:w="4678" w:type="dxa"/>
            <w:tcBorders>
              <w:top w:val="nil"/>
              <w:left w:val="nil"/>
              <w:bottom w:val="single" w:sz="4" w:space="0" w:color="auto"/>
              <w:right w:val="single" w:sz="4" w:space="0" w:color="auto"/>
            </w:tcBorders>
            <w:shd w:val="clear" w:color="auto" w:fill="auto"/>
            <w:vAlign w:val="center"/>
            <w:hideMark/>
          </w:tcPr>
          <w:p w14:paraId="76D61C4B" w14:textId="77777777" w:rsidR="001B4284" w:rsidRPr="00455D43" w:rsidRDefault="001B4284" w:rsidP="001B4284">
            <w:pPr>
              <w:rPr>
                <w:color w:val="000000"/>
                <w:sz w:val="18"/>
                <w:szCs w:val="18"/>
              </w:rPr>
            </w:pPr>
            <w:r w:rsidRPr="00455D43">
              <w:rPr>
                <w:color w:val="000000"/>
                <w:sz w:val="18"/>
                <w:szCs w:val="18"/>
              </w:rPr>
              <w:t>83650-HR IFL FS - Program poboljšanja kvalitete i djelotvornosti pružanja zdravstvenih usluga</w:t>
            </w:r>
          </w:p>
        </w:tc>
        <w:tc>
          <w:tcPr>
            <w:tcW w:w="884" w:type="dxa"/>
            <w:tcBorders>
              <w:top w:val="nil"/>
              <w:left w:val="nil"/>
              <w:bottom w:val="single" w:sz="4" w:space="0" w:color="auto"/>
              <w:right w:val="single" w:sz="4" w:space="0" w:color="auto"/>
            </w:tcBorders>
            <w:shd w:val="clear" w:color="auto" w:fill="auto"/>
            <w:noWrap/>
            <w:vAlign w:val="center"/>
            <w:hideMark/>
          </w:tcPr>
          <w:p w14:paraId="0F086D46" w14:textId="77777777" w:rsidR="001B4284" w:rsidRPr="00455D43" w:rsidRDefault="001B4284" w:rsidP="001B4284">
            <w:pPr>
              <w:jc w:val="center"/>
              <w:rPr>
                <w:color w:val="000000"/>
                <w:sz w:val="18"/>
                <w:szCs w:val="18"/>
              </w:rPr>
            </w:pPr>
            <w:r w:rsidRPr="00455D43">
              <w:rPr>
                <w:color w:val="000000"/>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5154CC01"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3D231755" w14:textId="77777777" w:rsidR="001B4284" w:rsidRPr="00455D43" w:rsidRDefault="001B4284" w:rsidP="001B4284">
            <w:pPr>
              <w:jc w:val="right"/>
              <w:rPr>
                <w:color w:val="000000"/>
                <w:sz w:val="18"/>
                <w:szCs w:val="18"/>
              </w:rPr>
            </w:pPr>
            <w:r w:rsidRPr="00455D43">
              <w:rPr>
                <w:color w:val="000000"/>
                <w:sz w:val="18"/>
                <w:szCs w:val="18"/>
              </w:rPr>
              <w:t>37.848.421,07</w:t>
            </w:r>
          </w:p>
        </w:tc>
      </w:tr>
      <w:tr w:rsidR="001B4284" w:rsidRPr="00455D43" w14:paraId="128D818B"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12332CF" w14:textId="77777777" w:rsidR="001B4284" w:rsidRPr="00455D43" w:rsidRDefault="001B4284" w:rsidP="001B4284">
            <w:pPr>
              <w:jc w:val="center"/>
              <w:rPr>
                <w:sz w:val="18"/>
                <w:szCs w:val="18"/>
              </w:rPr>
            </w:pPr>
            <w:r w:rsidRPr="00455D43">
              <w:rPr>
                <w:sz w:val="18"/>
                <w:szCs w:val="18"/>
              </w:rPr>
              <w:t>31.</w:t>
            </w:r>
          </w:p>
        </w:tc>
        <w:tc>
          <w:tcPr>
            <w:tcW w:w="4678" w:type="dxa"/>
            <w:tcBorders>
              <w:top w:val="nil"/>
              <w:left w:val="nil"/>
              <w:bottom w:val="single" w:sz="4" w:space="0" w:color="auto"/>
              <w:right w:val="single" w:sz="4" w:space="0" w:color="auto"/>
            </w:tcBorders>
            <w:shd w:val="clear" w:color="auto" w:fill="auto"/>
            <w:vAlign w:val="center"/>
            <w:hideMark/>
          </w:tcPr>
          <w:p w14:paraId="4E610B6F" w14:textId="77777777" w:rsidR="001B4284" w:rsidRPr="00455D43" w:rsidRDefault="001B4284" w:rsidP="001B4284">
            <w:pPr>
              <w:rPr>
                <w:color w:val="000000"/>
                <w:sz w:val="18"/>
                <w:szCs w:val="18"/>
              </w:rPr>
            </w:pPr>
            <w:r w:rsidRPr="00455D43">
              <w:rPr>
                <w:color w:val="000000"/>
                <w:sz w:val="18"/>
                <w:szCs w:val="18"/>
              </w:rPr>
              <w:t>87490-HR IFL FS - Projekt modernizacije i restrukturiranja cestovnog sektora</w:t>
            </w:r>
          </w:p>
        </w:tc>
        <w:tc>
          <w:tcPr>
            <w:tcW w:w="884" w:type="dxa"/>
            <w:tcBorders>
              <w:top w:val="nil"/>
              <w:left w:val="nil"/>
              <w:bottom w:val="single" w:sz="4" w:space="0" w:color="auto"/>
              <w:right w:val="single" w:sz="4" w:space="0" w:color="auto"/>
            </w:tcBorders>
            <w:shd w:val="clear" w:color="auto" w:fill="auto"/>
            <w:noWrap/>
            <w:vAlign w:val="center"/>
            <w:hideMark/>
          </w:tcPr>
          <w:p w14:paraId="7C00922A" w14:textId="77777777" w:rsidR="001B4284" w:rsidRPr="00455D43" w:rsidRDefault="001B4284" w:rsidP="001B4284">
            <w:pPr>
              <w:jc w:val="center"/>
              <w:rPr>
                <w:color w:val="000000"/>
                <w:sz w:val="18"/>
                <w:szCs w:val="18"/>
              </w:rPr>
            </w:pPr>
            <w:r w:rsidRPr="00455D43">
              <w:rPr>
                <w:color w:val="000000"/>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3CF4443A"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01EA3F5D" w14:textId="77777777" w:rsidR="001B4284" w:rsidRPr="00455D43" w:rsidRDefault="001B4284" w:rsidP="001B4284">
            <w:pPr>
              <w:jc w:val="right"/>
              <w:rPr>
                <w:color w:val="000000"/>
                <w:sz w:val="18"/>
                <w:szCs w:val="18"/>
              </w:rPr>
            </w:pPr>
            <w:r w:rsidRPr="00455D43">
              <w:rPr>
                <w:color w:val="000000"/>
                <w:sz w:val="18"/>
                <w:szCs w:val="18"/>
              </w:rPr>
              <w:t>5.437.745,03</w:t>
            </w:r>
          </w:p>
        </w:tc>
      </w:tr>
      <w:tr w:rsidR="001B4284" w:rsidRPr="00455D43" w14:paraId="46519157"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9AF7229" w14:textId="77777777" w:rsidR="001B4284" w:rsidRPr="00455D43" w:rsidRDefault="001B4284" w:rsidP="001B4284">
            <w:pPr>
              <w:jc w:val="center"/>
              <w:rPr>
                <w:sz w:val="18"/>
                <w:szCs w:val="18"/>
              </w:rPr>
            </w:pPr>
            <w:r w:rsidRPr="00455D43">
              <w:rPr>
                <w:sz w:val="18"/>
                <w:szCs w:val="18"/>
              </w:rPr>
              <w:t>32.</w:t>
            </w:r>
          </w:p>
        </w:tc>
        <w:tc>
          <w:tcPr>
            <w:tcW w:w="4678" w:type="dxa"/>
            <w:tcBorders>
              <w:top w:val="nil"/>
              <w:left w:val="nil"/>
              <w:bottom w:val="single" w:sz="4" w:space="0" w:color="auto"/>
              <w:right w:val="single" w:sz="4" w:space="0" w:color="auto"/>
            </w:tcBorders>
            <w:shd w:val="clear" w:color="auto" w:fill="auto"/>
            <w:vAlign w:val="center"/>
            <w:hideMark/>
          </w:tcPr>
          <w:p w14:paraId="3ABB765F" w14:textId="77777777" w:rsidR="001B4284" w:rsidRPr="00455D43" w:rsidRDefault="001B4284" w:rsidP="001B4284">
            <w:pPr>
              <w:rPr>
                <w:color w:val="000000"/>
                <w:sz w:val="18"/>
                <w:szCs w:val="18"/>
              </w:rPr>
            </w:pPr>
            <w:r w:rsidRPr="00455D43">
              <w:rPr>
                <w:color w:val="000000"/>
                <w:sz w:val="18"/>
                <w:szCs w:val="18"/>
              </w:rPr>
              <w:t xml:space="preserve">89000-HR IFL FS - Dodatno financiranje Projekta implementacije integriranog sustava zemljišne administracije </w:t>
            </w:r>
          </w:p>
        </w:tc>
        <w:tc>
          <w:tcPr>
            <w:tcW w:w="884" w:type="dxa"/>
            <w:tcBorders>
              <w:top w:val="nil"/>
              <w:left w:val="nil"/>
              <w:bottom w:val="single" w:sz="4" w:space="0" w:color="auto"/>
              <w:right w:val="single" w:sz="4" w:space="0" w:color="auto"/>
            </w:tcBorders>
            <w:shd w:val="clear" w:color="auto" w:fill="auto"/>
            <w:noWrap/>
            <w:vAlign w:val="center"/>
            <w:hideMark/>
          </w:tcPr>
          <w:p w14:paraId="44B8EE6E" w14:textId="77777777" w:rsidR="001B4284" w:rsidRPr="00455D43" w:rsidRDefault="001B4284" w:rsidP="001B4284">
            <w:pPr>
              <w:jc w:val="center"/>
              <w:rPr>
                <w:color w:val="000000"/>
                <w:sz w:val="18"/>
                <w:szCs w:val="18"/>
              </w:rPr>
            </w:pPr>
            <w:r w:rsidRPr="00455D43">
              <w:rPr>
                <w:color w:val="000000"/>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059FDC96"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60DE2C2C" w14:textId="77777777" w:rsidR="001B4284" w:rsidRPr="00455D43" w:rsidRDefault="001B4284" w:rsidP="001B4284">
            <w:pPr>
              <w:jc w:val="right"/>
              <w:rPr>
                <w:color w:val="000000"/>
                <w:sz w:val="18"/>
                <w:szCs w:val="18"/>
              </w:rPr>
            </w:pPr>
            <w:r w:rsidRPr="00455D43">
              <w:rPr>
                <w:color w:val="000000"/>
                <w:sz w:val="18"/>
                <w:szCs w:val="18"/>
              </w:rPr>
              <w:t>10.693.897,23</w:t>
            </w:r>
          </w:p>
        </w:tc>
      </w:tr>
      <w:tr w:rsidR="001B4284" w:rsidRPr="00455D43" w14:paraId="4A0CFB10"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2418C06" w14:textId="77777777" w:rsidR="001B4284" w:rsidRPr="00455D43" w:rsidRDefault="001B4284" w:rsidP="001B4284">
            <w:pPr>
              <w:jc w:val="center"/>
              <w:rPr>
                <w:sz w:val="18"/>
                <w:szCs w:val="18"/>
              </w:rPr>
            </w:pPr>
            <w:r w:rsidRPr="00455D43">
              <w:rPr>
                <w:sz w:val="18"/>
                <w:szCs w:val="18"/>
              </w:rPr>
              <w:t>33.</w:t>
            </w:r>
          </w:p>
        </w:tc>
        <w:tc>
          <w:tcPr>
            <w:tcW w:w="4678" w:type="dxa"/>
            <w:tcBorders>
              <w:top w:val="nil"/>
              <w:left w:val="nil"/>
              <w:bottom w:val="single" w:sz="4" w:space="0" w:color="auto"/>
              <w:right w:val="single" w:sz="4" w:space="0" w:color="auto"/>
            </w:tcBorders>
            <w:shd w:val="clear" w:color="auto" w:fill="auto"/>
            <w:vAlign w:val="center"/>
            <w:hideMark/>
          </w:tcPr>
          <w:p w14:paraId="67A59EB7" w14:textId="77777777" w:rsidR="001B4284" w:rsidRPr="00455D43" w:rsidRDefault="001B4284" w:rsidP="001B4284">
            <w:pPr>
              <w:rPr>
                <w:color w:val="000000"/>
                <w:sz w:val="18"/>
                <w:szCs w:val="18"/>
              </w:rPr>
            </w:pPr>
            <w:r w:rsidRPr="00455D43">
              <w:rPr>
                <w:color w:val="000000"/>
                <w:sz w:val="18"/>
                <w:szCs w:val="18"/>
              </w:rPr>
              <w:t>90570-HR IFL FS - Projekt učinkovitog pravosuđa za bolje poslovno okruženje</w:t>
            </w:r>
          </w:p>
        </w:tc>
        <w:tc>
          <w:tcPr>
            <w:tcW w:w="884" w:type="dxa"/>
            <w:tcBorders>
              <w:top w:val="nil"/>
              <w:left w:val="nil"/>
              <w:bottom w:val="single" w:sz="4" w:space="0" w:color="auto"/>
              <w:right w:val="single" w:sz="4" w:space="0" w:color="auto"/>
            </w:tcBorders>
            <w:shd w:val="clear" w:color="auto" w:fill="auto"/>
            <w:noWrap/>
            <w:vAlign w:val="center"/>
            <w:hideMark/>
          </w:tcPr>
          <w:p w14:paraId="57C6B8D5" w14:textId="77777777" w:rsidR="001B4284" w:rsidRPr="00455D43" w:rsidRDefault="001B4284" w:rsidP="001B4284">
            <w:pPr>
              <w:jc w:val="center"/>
              <w:rPr>
                <w:color w:val="000000"/>
                <w:sz w:val="18"/>
                <w:szCs w:val="18"/>
              </w:rPr>
            </w:pPr>
            <w:r w:rsidRPr="00455D43">
              <w:rPr>
                <w:color w:val="000000"/>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7DADA1DC"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09277700" w14:textId="77777777" w:rsidR="001B4284" w:rsidRPr="00455D43" w:rsidRDefault="001B4284" w:rsidP="001B4284">
            <w:pPr>
              <w:jc w:val="right"/>
              <w:rPr>
                <w:color w:val="000000"/>
                <w:sz w:val="18"/>
                <w:szCs w:val="18"/>
              </w:rPr>
            </w:pPr>
            <w:r w:rsidRPr="00455D43">
              <w:rPr>
                <w:color w:val="000000"/>
                <w:sz w:val="18"/>
                <w:szCs w:val="18"/>
              </w:rPr>
              <w:t>53.715.356,65</w:t>
            </w:r>
          </w:p>
        </w:tc>
      </w:tr>
      <w:tr w:rsidR="001B4284" w:rsidRPr="00455D43" w14:paraId="4F25DC50"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F087A43" w14:textId="77777777" w:rsidR="001B4284" w:rsidRPr="00455D43" w:rsidRDefault="001B4284" w:rsidP="001B4284">
            <w:pPr>
              <w:jc w:val="center"/>
              <w:rPr>
                <w:sz w:val="18"/>
                <w:szCs w:val="18"/>
              </w:rPr>
            </w:pPr>
            <w:r w:rsidRPr="00455D43">
              <w:rPr>
                <w:sz w:val="18"/>
                <w:szCs w:val="18"/>
              </w:rPr>
              <w:t>34.</w:t>
            </w:r>
          </w:p>
        </w:tc>
        <w:tc>
          <w:tcPr>
            <w:tcW w:w="4678" w:type="dxa"/>
            <w:tcBorders>
              <w:top w:val="nil"/>
              <w:left w:val="nil"/>
              <w:bottom w:val="single" w:sz="4" w:space="0" w:color="auto"/>
              <w:right w:val="single" w:sz="4" w:space="0" w:color="auto"/>
            </w:tcBorders>
            <w:shd w:val="clear" w:color="auto" w:fill="auto"/>
            <w:vAlign w:val="center"/>
            <w:hideMark/>
          </w:tcPr>
          <w:p w14:paraId="33475A4C" w14:textId="77777777" w:rsidR="001B4284" w:rsidRPr="00455D43" w:rsidRDefault="001B4284" w:rsidP="001B4284">
            <w:pPr>
              <w:rPr>
                <w:color w:val="000000"/>
                <w:sz w:val="18"/>
                <w:szCs w:val="18"/>
              </w:rPr>
            </w:pPr>
            <w:r w:rsidRPr="00455D43">
              <w:rPr>
                <w:color w:val="000000"/>
                <w:sz w:val="18"/>
                <w:szCs w:val="18"/>
              </w:rPr>
              <w:t>91270-HR IFL FS - Projekt oporavka nakon potresa i jačanja pripravnosti javnog zdravstva</w:t>
            </w:r>
          </w:p>
        </w:tc>
        <w:tc>
          <w:tcPr>
            <w:tcW w:w="884" w:type="dxa"/>
            <w:tcBorders>
              <w:top w:val="nil"/>
              <w:left w:val="nil"/>
              <w:bottom w:val="single" w:sz="4" w:space="0" w:color="auto"/>
              <w:right w:val="single" w:sz="4" w:space="0" w:color="auto"/>
            </w:tcBorders>
            <w:shd w:val="clear" w:color="auto" w:fill="auto"/>
            <w:noWrap/>
            <w:vAlign w:val="center"/>
            <w:hideMark/>
          </w:tcPr>
          <w:p w14:paraId="535FD61F" w14:textId="77777777" w:rsidR="001B4284" w:rsidRPr="00455D43" w:rsidRDefault="001B4284" w:rsidP="001B4284">
            <w:pPr>
              <w:jc w:val="center"/>
              <w:rPr>
                <w:color w:val="000000"/>
                <w:sz w:val="18"/>
                <w:szCs w:val="18"/>
              </w:rPr>
            </w:pPr>
            <w:r w:rsidRPr="00455D43">
              <w:rPr>
                <w:color w:val="000000"/>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1EA64C2A"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6CC4A61F" w14:textId="77777777" w:rsidR="001B4284" w:rsidRPr="00455D43" w:rsidRDefault="001B4284" w:rsidP="001B4284">
            <w:pPr>
              <w:jc w:val="right"/>
              <w:rPr>
                <w:color w:val="000000"/>
                <w:sz w:val="18"/>
                <w:szCs w:val="18"/>
              </w:rPr>
            </w:pPr>
            <w:r w:rsidRPr="00455D43">
              <w:rPr>
                <w:color w:val="000000"/>
                <w:sz w:val="18"/>
                <w:szCs w:val="18"/>
              </w:rPr>
              <w:t>45.370.239,00</w:t>
            </w:r>
          </w:p>
        </w:tc>
      </w:tr>
      <w:tr w:rsidR="001B4284" w:rsidRPr="00455D43" w14:paraId="1484B55C"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A81B603" w14:textId="77777777" w:rsidR="001B4284" w:rsidRPr="00455D43" w:rsidRDefault="001B4284" w:rsidP="001B4284">
            <w:pPr>
              <w:jc w:val="center"/>
              <w:rPr>
                <w:sz w:val="18"/>
                <w:szCs w:val="18"/>
              </w:rPr>
            </w:pPr>
            <w:r w:rsidRPr="00455D43">
              <w:rPr>
                <w:sz w:val="18"/>
                <w:szCs w:val="18"/>
              </w:rPr>
              <w:t>35.</w:t>
            </w:r>
          </w:p>
        </w:tc>
        <w:tc>
          <w:tcPr>
            <w:tcW w:w="4678" w:type="dxa"/>
            <w:tcBorders>
              <w:top w:val="nil"/>
              <w:left w:val="nil"/>
              <w:bottom w:val="single" w:sz="4" w:space="0" w:color="auto"/>
              <w:right w:val="single" w:sz="4" w:space="0" w:color="auto"/>
            </w:tcBorders>
            <w:shd w:val="clear" w:color="auto" w:fill="auto"/>
            <w:vAlign w:val="center"/>
            <w:hideMark/>
          </w:tcPr>
          <w:p w14:paraId="5D307FD5" w14:textId="77777777" w:rsidR="001B4284" w:rsidRPr="00455D43" w:rsidRDefault="001B4284" w:rsidP="001B4284">
            <w:pPr>
              <w:rPr>
                <w:color w:val="000000"/>
                <w:sz w:val="18"/>
                <w:szCs w:val="18"/>
              </w:rPr>
            </w:pPr>
            <w:r w:rsidRPr="00455D43">
              <w:rPr>
                <w:color w:val="000000"/>
                <w:sz w:val="18"/>
                <w:szCs w:val="18"/>
              </w:rPr>
              <w:t>91350-HR IFL FS - Zajam za razvojnu politiku za odgovor na krizu i podršku oporavku</w:t>
            </w:r>
          </w:p>
        </w:tc>
        <w:tc>
          <w:tcPr>
            <w:tcW w:w="884" w:type="dxa"/>
            <w:tcBorders>
              <w:top w:val="nil"/>
              <w:left w:val="nil"/>
              <w:bottom w:val="single" w:sz="4" w:space="0" w:color="auto"/>
              <w:right w:val="single" w:sz="4" w:space="0" w:color="auto"/>
            </w:tcBorders>
            <w:shd w:val="clear" w:color="auto" w:fill="auto"/>
            <w:noWrap/>
            <w:vAlign w:val="center"/>
            <w:hideMark/>
          </w:tcPr>
          <w:p w14:paraId="28A4FA34" w14:textId="77777777" w:rsidR="001B4284" w:rsidRPr="00455D43" w:rsidRDefault="001B4284" w:rsidP="001B4284">
            <w:pPr>
              <w:jc w:val="center"/>
              <w:rPr>
                <w:color w:val="000000"/>
                <w:sz w:val="18"/>
                <w:szCs w:val="18"/>
              </w:rPr>
            </w:pPr>
            <w:r w:rsidRPr="00455D43">
              <w:rPr>
                <w:color w:val="000000"/>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5C1F5EFA"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3A8B7E9A" w14:textId="77777777" w:rsidR="001B4284" w:rsidRPr="00455D43" w:rsidRDefault="001B4284" w:rsidP="001B4284">
            <w:pPr>
              <w:jc w:val="right"/>
              <w:rPr>
                <w:color w:val="000000"/>
                <w:sz w:val="18"/>
                <w:szCs w:val="18"/>
              </w:rPr>
            </w:pPr>
            <w:r w:rsidRPr="00455D43">
              <w:rPr>
                <w:color w:val="000000"/>
                <w:sz w:val="18"/>
                <w:szCs w:val="18"/>
              </w:rPr>
              <w:t>275.900.000,00</w:t>
            </w:r>
          </w:p>
        </w:tc>
      </w:tr>
      <w:tr w:rsidR="001B4284" w:rsidRPr="00455D43" w14:paraId="2AFCAA1F"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22E54FA" w14:textId="77777777" w:rsidR="001B4284" w:rsidRPr="00455D43" w:rsidRDefault="001B4284" w:rsidP="001B4284">
            <w:pPr>
              <w:jc w:val="center"/>
              <w:rPr>
                <w:sz w:val="18"/>
                <w:szCs w:val="18"/>
              </w:rPr>
            </w:pPr>
            <w:r w:rsidRPr="00455D43">
              <w:rPr>
                <w:sz w:val="18"/>
                <w:szCs w:val="18"/>
              </w:rPr>
              <w:t>36.</w:t>
            </w:r>
          </w:p>
        </w:tc>
        <w:tc>
          <w:tcPr>
            <w:tcW w:w="4678" w:type="dxa"/>
            <w:tcBorders>
              <w:top w:val="nil"/>
              <w:left w:val="nil"/>
              <w:bottom w:val="single" w:sz="4" w:space="0" w:color="auto"/>
              <w:right w:val="single" w:sz="4" w:space="0" w:color="auto"/>
            </w:tcBorders>
            <w:shd w:val="clear" w:color="auto" w:fill="auto"/>
            <w:vAlign w:val="center"/>
            <w:hideMark/>
          </w:tcPr>
          <w:p w14:paraId="067ECA66" w14:textId="77777777" w:rsidR="001B4284" w:rsidRPr="00455D43" w:rsidRDefault="001B4284" w:rsidP="001B4284">
            <w:pPr>
              <w:rPr>
                <w:color w:val="000000"/>
                <w:sz w:val="18"/>
                <w:szCs w:val="18"/>
              </w:rPr>
            </w:pPr>
            <w:r w:rsidRPr="00455D43">
              <w:rPr>
                <w:color w:val="000000"/>
                <w:sz w:val="18"/>
                <w:szCs w:val="18"/>
              </w:rPr>
              <w:t>93030-HR IFL VS - Projekt „Hrvatska: Ususret održivom, pravednom i učinkovitom obrazovanju“</w:t>
            </w:r>
          </w:p>
        </w:tc>
        <w:tc>
          <w:tcPr>
            <w:tcW w:w="884" w:type="dxa"/>
            <w:tcBorders>
              <w:top w:val="nil"/>
              <w:left w:val="nil"/>
              <w:bottom w:val="single" w:sz="4" w:space="0" w:color="auto"/>
              <w:right w:val="single" w:sz="4" w:space="0" w:color="auto"/>
            </w:tcBorders>
            <w:shd w:val="clear" w:color="auto" w:fill="auto"/>
            <w:noWrap/>
            <w:vAlign w:val="center"/>
            <w:hideMark/>
          </w:tcPr>
          <w:p w14:paraId="49275AC9" w14:textId="77777777" w:rsidR="001B4284" w:rsidRPr="00455D43" w:rsidRDefault="001B4284" w:rsidP="001B4284">
            <w:pPr>
              <w:jc w:val="center"/>
              <w:rPr>
                <w:color w:val="000000"/>
                <w:sz w:val="18"/>
                <w:szCs w:val="18"/>
              </w:rPr>
            </w:pPr>
            <w:r w:rsidRPr="00455D43">
              <w:rPr>
                <w:color w:val="000000"/>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05D29F8C"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7C3F7F1E" w14:textId="77777777" w:rsidR="001B4284" w:rsidRPr="00455D43" w:rsidRDefault="001B4284" w:rsidP="001B4284">
            <w:pPr>
              <w:jc w:val="right"/>
              <w:rPr>
                <w:color w:val="000000"/>
                <w:sz w:val="18"/>
                <w:szCs w:val="18"/>
              </w:rPr>
            </w:pPr>
            <w:r w:rsidRPr="00455D43">
              <w:rPr>
                <w:color w:val="000000"/>
                <w:sz w:val="18"/>
                <w:szCs w:val="18"/>
              </w:rPr>
              <w:t>14.744.265,00</w:t>
            </w:r>
          </w:p>
        </w:tc>
      </w:tr>
      <w:tr w:rsidR="001B4284" w:rsidRPr="00455D43" w14:paraId="142ED321"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A17236E" w14:textId="77777777" w:rsidR="001B4284" w:rsidRPr="00455D43" w:rsidRDefault="001B4284" w:rsidP="001B4284">
            <w:pPr>
              <w:jc w:val="center"/>
              <w:rPr>
                <w:sz w:val="18"/>
                <w:szCs w:val="18"/>
              </w:rPr>
            </w:pPr>
            <w:r w:rsidRPr="00455D43">
              <w:rPr>
                <w:sz w:val="18"/>
                <w:szCs w:val="18"/>
              </w:rPr>
              <w:t>37.</w:t>
            </w:r>
          </w:p>
        </w:tc>
        <w:tc>
          <w:tcPr>
            <w:tcW w:w="4678" w:type="dxa"/>
            <w:tcBorders>
              <w:top w:val="nil"/>
              <w:left w:val="nil"/>
              <w:bottom w:val="single" w:sz="4" w:space="0" w:color="auto"/>
              <w:right w:val="single" w:sz="4" w:space="0" w:color="auto"/>
            </w:tcBorders>
            <w:shd w:val="clear" w:color="auto" w:fill="auto"/>
            <w:vAlign w:val="center"/>
            <w:hideMark/>
          </w:tcPr>
          <w:p w14:paraId="24B70755" w14:textId="77777777" w:rsidR="001B4284" w:rsidRPr="00455D43" w:rsidRDefault="001B4284" w:rsidP="001B4284">
            <w:pPr>
              <w:rPr>
                <w:color w:val="000000"/>
                <w:sz w:val="18"/>
                <w:szCs w:val="18"/>
              </w:rPr>
            </w:pPr>
            <w:r w:rsidRPr="00455D43">
              <w:rPr>
                <w:color w:val="000000"/>
                <w:sz w:val="18"/>
                <w:szCs w:val="18"/>
              </w:rPr>
              <w:t>85020-HR IFL VS - Projekt održivih hrvatskih željeznica u Europi</w:t>
            </w:r>
          </w:p>
        </w:tc>
        <w:tc>
          <w:tcPr>
            <w:tcW w:w="884" w:type="dxa"/>
            <w:tcBorders>
              <w:top w:val="nil"/>
              <w:left w:val="nil"/>
              <w:bottom w:val="single" w:sz="4" w:space="0" w:color="auto"/>
              <w:right w:val="single" w:sz="4" w:space="0" w:color="auto"/>
            </w:tcBorders>
            <w:shd w:val="clear" w:color="auto" w:fill="auto"/>
            <w:noWrap/>
            <w:vAlign w:val="center"/>
            <w:hideMark/>
          </w:tcPr>
          <w:p w14:paraId="1CA10F96" w14:textId="77777777" w:rsidR="001B4284" w:rsidRPr="00455D43" w:rsidRDefault="001B4284" w:rsidP="001B4284">
            <w:pPr>
              <w:jc w:val="center"/>
              <w:rPr>
                <w:color w:val="000000"/>
                <w:sz w:val="18"/>
                <w:szCs w:val="18"/>
              </w:rPr>
            </w:pPr>
            <w:r w:rsidRPr="00455D43">
              <w:rPr>
                <w:color w:val="000000"/>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69DFC0CF"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47F4C4CD" w14:textId="77777777" w:rsidR="001B4284" w:rsidRPr="00455D43" w:rsidRDefault="001B4284" w:rsidP="001B4284">
            <w:pPr>
              <w:jc w:val="right"/>
              <w:rPr>
                <w:color w:val="000000"/>
                <w:sz w:val="18"/>
                <w:szCs w:val="18"/>
              </w:rPr>
            </w:pPr>
            <w:r w:rsidRPr="00455D43">
              <w:rPr>
                <w:color w:val="000000"/>
                <w:sz w:val="18"/>
                <w:szCs w:val="18"/>
              </w:rPr>
              <w:t>32.260.576,65</w:t>
            </w:r>
          </w:p>
        </w:tc>
      </w:tr>
      <w:tr w:rsidR="001B4284" w:rsidRPr="00455D43" w14:paraId="23F1C079" w14:textId="77777777" w:rsidTr="000F0D22">
        <w:trPr>
          <w:trHeight w:val="30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366469E" w14:textId="77777777" w:rsidR="001B4284" w:rsidRPr="00455D43" w:rsidRDefault="001B4284" w:rsidP="001B4284">
            <w:pPr>
              <w:jc w:val="center"/>
              <w:rPr>
                <w:sz w:val="18"/>
                <w:szCs w:val="18"/>
              </w:rPr>
            </w:pPr>
            <w:r w:rsidRPr="00455D43">
              <w:rPr>
                <w:sz w:val="18"/>
                <w:szCs w:val="18"/>
              </w:rPr>
              <w:t>38.</w:t>
            </w:r>
          </w:p>
        </w:tc>
        <w:tc>
          <w:tcPr>
            <w:tcW w:w="4678" w:type="dxa"/>
            <w:tcBorders>
              <w:top w:val="nil"/>
              <w:left w:val="nil"/>
              <w:bottom w:val="single" w:sz="4" w:space="0" w:color="auto"/>
              <w:right w:val="single" w:sz="4" w:space="0" w:color="auto"/>
            </w:tcBorders>
            <w:shd w:val="clear" w:color="auto" w:fill="auto"/>
            <w:vAlign w:val="center"/>
            <w:hideMark/>
          </w:tcPr>
          <w:p w14:paraId="65B00CFD" w14:textId="77777777" w:rsidR="001B4284" w:rsidRPr="00455D43" w:rsidRDefault="001B4284" w:rsidP="001B4284">
            <w:pPr>
              <w:rPr>
                <w:color w:val="000000"/>
                <w:sz w:val="18"/>
                <w:szCs w:val="18"/>
              </w:rPr>
            </w:pPr>
            <w:r w:rsidRPr="00455D43">
              <w:rPr>
                <w:color w:val="000000"/>
                <w:sz w:val="18"/>
                <w:szCs w:val="18"/>
              </w:rPr>
              <w:t>95580-HR IFL VS - Projekt "Digitalne, inovativne i zelene tehnologije"</w:t>
            </w:r>
          </w:p>
        </w:tc>
        <w:tc>
          <w:tcPr>
            <w:tcW w:w="884" w:type="dxa"/>
            <w:tcBorders>
              <w:top w:val="nil"/>
              <w:left w:val="nil"/>
              <w:bottom w:val="single" w:sz="4" w:space="0" w:color="auto"/>
              <w:right w:val="single" w:sz="4" w:space="0" w:color="auto"/>
            </w:tcBorders>
            <w:shd w:val="clear" w:color="auto" w:fill="auto"/>
            <w:noWrap/>
            <w:vAlign w:val="center"/>
            <w:hideMark/>
          </w:tcPr>
          <w:p w14:paraId="2DEF2DD6" w14:textId="77777777" w:rsidR="001B4284" w:rsidRPr="00455D43" w:rsidRDefault="001B4284" w:rsidP="001B4284">
            <w:pPr>
              <w:jc w:val="center"/>
              <w:rPr>
                <w:color w:val="000000"/>
                <w:sz w:val="18"/>
                <w:szCs w:val="18"/>
              </w:rPr>
            </w:pPr>
            <w:r w:rsidRPr="00455D43">
              <w:rPr>
                <w:color w:val="000000"/>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4BBE421C" w14:textId="77777777" w:rsidR="001B4284" w:rsidRPr="00455D43" w:rsidRDefault="001B4284" w:rsidP="001B4284">
            <w:pPr>
              <w:jc w:val="center"/>
              <w:rPr>
                <w:color w:val="000000"/>
                <w:sz w:val="18"/>
                <w:szCs w:val="18"/>
              </w:rPr>
            </w:pPr>
            <w:r w:rsidRPr="00455D43">
              <w:rPr>
                <w:color w:val="000000"/>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5CFAFE11" w14:textId="77777777" w:rsidR="001B4284" w:rsidRPr="00455D43" w:rsidRDefault="001B4284" w:rsidP="001B4284">
            <w:pPr>
              <w:jc w:val="right"/>
              <w:rPr>
                <w:color w:val="000000"/>
                <w:sz w:val="18"/>
                <w:szCs w:val="18"/>
              </w:rPr>
            </w:pPr>
            <w:r w:rsidRPr="00455D43">
              <w:rPr>
                <w:color w:val="000000"/>
                <w:sz w:val="18"/>
                <w:szCs w:val="18"/>
              </w:rPr>
              <w:t>7.000.000,00</w:t>
            </w:r>
          </w:p>
        </w:tc>
      </w:tr>
      <w:tr w:rsidR="001B4284" w:rsidRPr="00455D43" w14:paraId="47AB68B2" w14:textId="77777777" w:rsidTr="000F0D22">
        <w:trPr>
          <w:trHeight w:val="315"/>
          <w:jc w:val="right"/>
        </w:trPr>
        <w:tc>
          <w:tcPr>
            <w:tcW w:w="99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0C71A3D3" w14:textId="77777777" w:rsidR="001B4284" w:rsidRPr="00455D43" w:rsidRDefault="001B4284" w:rsidP="001B4284">
            <w:pPr>
              <w:jc w:val="center"/>
              <w:rPr>
                <w:b/>
                <w:bCs/>
                <w:sz w:val="18"/>
                <w:szCs w:val="18"/>
              </w:rPr>
            </w:pPr>
            <w:r w:rsidRPr="00455D43">
              <w:rPr>
                <w:b/>
                <w:bCs/>
                <w:sz w:val="18"/>
                <w:szCs w:val="18"/>
              </w:rPr>
              <w:t>UKUPNO</w:t>
            </w:r>
          </w:p>
        </w:tc>
        <w:tc>
          <w:tcPr>
            <w:tcW w:w="4678" w:type="dxa"/>
            <w:tcBorders>
              <w:top w:val="double" w:sz="6" w:space="0" w:color="auto"/>
              <w:left w:val="nil"/>
              <w:bottom w:val="double" w:sz="6" w:space="0" w:color="auto"/>
              <w:right w:val="double" w:sz="6" w:space="0" w:color="auto"/>
            </w:tcBorders>
            <w:shd w:val="clear" w:color="auto" w:fill="auto"/>
            <w:noWrap/>
            <w:vAlign w:val="center"/>
            <w:hideMark/>
          </w:tcPr>
          <w:p w14:paraId="7EA67C29" w14:textId="77777777" w:rsidR="001B4284" w:rsidRPr="00455D43" w:rsidRDefault="001B4284" w:rsidP="001B4284">
            <w:pPr>
              <w:rPr>
                <w:b/>
                <w:bCs/>
                <w:sz w:val="18"/>
                <w:szCs w:val="18"/>
              </w:rPr>
            </w:pPr>
            <w:r w:rsidRPr="00455D43">
              <w:rPr>
                <w:b/>
                <w:bCs/>
                <w:sz w:val="18"/>
                <w:szCs w:val="18"/>
              </w:rPr>
              <w:t> </w:t>
            </w:r>
          </w:p>
        </w:tc>
        <w:tc>
          <w:tcPr>
            <w:tcW w:w="884" w:type="dxa"/>
            <w:tcBorders>
              <w:top w:val="double" w:sz="6" w:space="0" w:color="auto"/>
              <w:left w:val="nil"/>
              <w:bottom w:val="double" w:sz="6" w:space="0" w:color="auto"/>
              <w:right w:val="double" w:sz="6" w:space="0" w:color="auto"/>
            </w:tcBorders>
            <w:shd w:val="clear" w:color="auto" w:fill="auto"/>
            <w:noWrap/>
            <w:vAlign w:val="center"/>
            <w:hideMark/>
          </w:tcPr>
          <w:p w14:paraId="53F63F08" w14:textId="77777777" w:rsidR="001B4284" w:rsidRPr="00455D43" w:rsidRDefault="001B4284" w:rsidP="001B4284">
            <w:pPr>
              <w:jc w:val="center"/>
              <w:rPr>
                <w:b/>
                <w:bCs/>
                <w:sz w:val="18"/>
                <w:szCs w:val="18"/>
              </w:rPr>
            </w:pPr>
            <w:r w:rsidRPr="00455D43">
              <w:rPr>
                <w:b/>
                <w:bCs/>
                <w:sz w:val="18"/>
                <w:szCs w:val="18"/>
              </w:rPr>
              <w:t>IBRD</w:t>
            </w:r>
          </w:p>
        </w:tc>
        <w:tc>
          <w:tcPr>
            <w:tcW w:w="910" w:type="dxa"/>
            <w:tcBorders>
              <w:top w:val="double" w:sz="6" w:space="0" w:color="auto"/>
              <w:left w:val="nil"/>
              <w:bottom w:val="double" w:sz="6" w:space="0" w:color="auto"/>
              <w:right w:val="double" w:sz="6" w:space="0" w:color="auto"/>
            </w:tcBorders>
            <w:shd w:val="clear" w:color="auto" w:fill="auto"/>
            <w:noWrap/>
            <w:vAlign w:val="center"/>
            <w:hideMark/>
          </w:tcPr>
          <w:p w14:paraId="28DD05C7" w14:textId="77777777" w:rsidR="001B4284" w:rsidRPr="00455D43" w:rsidRDefault="001B4284" w:rsidP="001B4284">
            <w:pPr>
              <w:jc w:val="center"/>
              <w:rPr>
                <w:b/>
                <w:bCs/>
                <w:sz w:val="18"/>
                <w:szCs w:val="18"/>
              </w:rPr>
            </w:pPr>
            <w:r w:rsidRPr="00455D43">
              <w:rPr>
                <w:b/>
                <w:bCs/>
                <w:sz w:val="18"/>
                <w:szCs w:val="18"/>
              </w:rPr>
              <w:t>EUR</w:t>
            </w:r>
          </w:p>
        </w:tc>
        <w:tc>
          <w:tcPr>
            <w:tcW w:w="1883" w:type="dxa"/>
            <w:tcBorders>
              <w:top w:val="double" w:sz="6" w:space="0" w:color="auto"/>
              <w:left w:val="nil"/>
              <w:bottom w:val="double" w:sz="6" w:space="0" w:color="auto"/>
              <w:right w:val="double" w:sz="6" w:space="0" w:color="auto"/>
            </w:tcBorders>
            <w:shd w:val="clear" w:color="auto" w:fill="auto"/>
            <w:noWrap/>
            <w:vAlign w:val="center"/>
            <w:hideMark/>
          </w:tcPr>
          <w:p w14:paraId="42335E09" w14:textId="77777777" w:rsidR="001B4284" w:rsidRPr="00455D43" w:rsidRDefault="001B4284" w:rsidP="001B4284">
            <w:pPr>
              <w:jc w:val="right"/>
              <w:rPr>
                <w:b/>
                <w:bCs/>
                <w:sz w:val="18"/>
                <w:szCs w:val="18"/>
              </w:rPr>
            </w:pPr>
            <w:r w:rsidRPr="00455D43">
              <w:rPr>
                <w:b/>
                <w:bCs/>
                <w:sz w:val="18"/>
                <w:szCs w:val="18"/>
              </w:rPr>
              <w:t>1.024.347.352,51</w:t>
            </w:r>
          </w:p>
        </w:tc>
      </w:tr>
      <w:tr w:rsidR="001B4284" w:rsidRPr="007466EF" w14:paraId="48414F4F" w14:textId="77777777" w:rsidTr="000F0D22">
        <w:trPr>
          <w:trHeight w:val="315"/>
          <w:jc w:val="right"/>
        </w:trPr>
        <w:tc>
          <w:tcPr>
            <w:tcW w:w="6558" w:type="dxa"/>
            <w:gridSpan w:val="3"/>
            <w:tcBorders>
              <w:top w:val="single" w:sz="12" w:space="0" w:color="auto"/>
              <w:left w:val="single" w:sz="12" w:space="0" w:color="auto"/>
              <w:bottom w:val="single" w:sz="12" w:space="0" w:color="auto"/>
              <w:right w:val="nil"/>
            </w:tcBorders>
            <w:shd w:val="clear" w:color="auto" w:fill="auto"/>
            <w:vAlign w:val="center"/>
            <w:hideMark/>
          </w:tcPr>
          <w:p w14:paraId="15DC3DF2" w14:textId="77777777" w:rsidR="001B4284" w:rsidRPr="00455D43" w:rsidRDefault="001B4284" w:rsidP="001B4284">
            <w:pPr>
              <w:rPr>
                <w:b/>
                <w:bCs/>
                <w:sz w:val="18"/>
                <w:szCs w:val="18"/>
              </w:rPr>
            </w:pPr>
            <w:r w:rsidRPr="00455D43">
              <w:rPr>
                <w:b/>
                <w:bCs/>
                <w:sz w:val="18"/>
                <w:szCs w:val="18"/>
              </w:rPr>
              <w:t>SVEUKUPNO</w:t>
            </w:r>
          </w:p>
        </w:tc>
        <w:tc>
          <w:tcPr>
            <w:tcW w:w="91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41391E" w14:textId="77777777" w:rsidR="001B4284" w:rsidRPr="00455D43" w:rsidRDefault="001B4284" w:rsidP="001B4284">
            <w:pPr>
              <w:jc w:val="center"/>
              <w:rPr>
                <w:b/>
                <w:bCs/>
                <w:sz w:val="18"/>
                <w:szCs w:val="18"/>
              </w:rPr>
            </w:pPr>
            <w:r w:rsidRPr="00455D43">
              <w:rPr>
                <w:b/>
                <w:bCs/>
                <w:sz w:val="18"/>
                <w:szCs w:val="18"/>
              </w:rPr>
              <w:t>EUR</w:t>
            </w:r>
          </w:p>
        </w:tc>
        <w:tc>
          <w:tcPr>
            <w:tcW w:w="1883" w:type="dxa"/>
            <w:tcBorders>
              <w:top w:val="single" w:sz="12" w:space="0" w:color="auto"/>
              <w:left w:val="nil"/>
              <w:bottom w:val="single" w:sz="12" w:space="0" w:color="auto"/>
              <w:right w:val="single" w:sz="12" w:space="0" w:color="auto"/>
            </w:tcBorders>
            <w:shd w:val="clear" w:color="auto" w:fill="auto"/>
            <w:noWrap/>
            <w:vAlign w:val="center"/>
            <w:hideMark/>
          </w:tcPr>
          <w:p w14:paraId="0A390353" w14:textId="77777777" w:rsidR="001B4284" w:rsidRPr="007466EF" w:rsidRDefault="001B4284" w:rsidP="001B4284">
            <w:pPr>
              <w:jc w:val="right"/>
              <w:rPr>
                <w:b/>
                <w:bCs/>
                <w:sz w:val="18"/>
                <w:szCs w:val="18"/>
              </w:rPr>
            </w:pPr>
            <w:r w:rsidRPr="00455D43">
              <w:rPr>
                <w:b/>
                <w:bCs/>
                <w:sz w:val="18"/>
                <w:szCs w:val="18"/>
              </w:rPr>
              <w:t>1.259.755.336,03</w:t>
            </w:r>
          </w:p>
        </w:tc>
      </w:tr>
    </w:tbl>
    <w:p w14:paraId="0C8C6078" w14:textId="77777777" w:rsidR="001B4284" w:rsidRPr="00FB0E6E" w:rsidRDefault="001B4284" w:rsidP="00FB0E6E">
      <w:pPr>
        <w:jc w:val="both"/>
      </w:pPr>
    </w:p>
    <w:p w14:paraId="005D9C1C" w14:textId="77777777" w:rsidR="001B4284" w:rsidRPr="007466EF" w:rsidRDefault="001B4284" w:rsidP="001B4284">
      <w:pPr>
        <w:jc w:val="center"/>
        <w:rPr>
          <w:bCs/>
          <w:sz w:val="28"/>
          <w:szCs w:val="28"/>
        </w:rPr>
      </w:pPr>
      <w:r w:rsidRPr="007466EF">
        <w:rPr>
          <w:bCs/>
          <w:sz w:val="28"/>
          <w:szCs w:val="28"/>
        </w:rPr>
        <w:t xml:space="preserve">Bilješka 26. </w:t>
      </w:r>
    </w:p>
    <w:p w14:paraId="223AA0B6" w14:textId="77777777" w:rsidR="001B4284" w:rsidRPr="007466EF" w:rsidRDefault="001B4284" w:rsidP="001B4284">
      <w:pPr>
        <w:jc w:val="center"/>
        <w:rPr>
          <w:bCs/>
          <w:sz w:val="28"/>
          <w:szCs w:val="28"/>
        </w:rPr>
      </w:pPr>
      <w:r w:rsidRPr="007466EF">
        <w:rPr>
          <w:bCs/>
          <w:sz w:val="28"/>
          <w:szCs w:val="28"/>
        </w:rPr>
        <w:t>Šifra 2614 Obveza za kredite i zajmove od institucija i tijela EU</w:t>
      </w:r>
    </w:p>
    <w:p w14:paraId="3E3424FC" w14:textId="2DE4F243" w:rsidR="001B4284" w:rsidRPr="007466EF" w:rsidRDefault="001B4284" w:rsidP="001B4284">
      <w:pPr>
        <w:jc w:val="both"/>
        <w:rPr>
          <w:bCs/>
          <w:szCs w:val="28"/>
        </w:rPr>
      </w:pPr>
      <w:r w:rsidRPr="007466EF">
        <w:rPr>
          <w:bCs/>
          <w:szCs w:val="28"/>
        </w:rPr>
        <w:t xml:space="preserve">Obveze za kredite i zajmove od institucija i tijela EU na dan 31. prosinca 2024. iskazane su u iznosu od </w:t>
      </w:r>
      <w:r w:rsidR="00A554D9">
        <w:rPr>
          <w:bCs/>
          <w:szCs w:val="28"/>
        </w:rPr>
        <w:t>3.274.591.399,49</w:t>
      </w:r>
      <w:r w:rsidRPr="007466EF">
        <w:rPr>
          <w:bCs/>
          <w:szCs w:val="28"/>
        </w:rPr>
        <w:t xml:space="preserve"> eura dok su na dan 1. siječnja 2024. iskazane u iznosu od 2.376.892.484,64 eura što predstavlja povećanje u stanju obveza od 37,8% u promatranom razdoblju.</w:t>
      </w:r>
    </w:p>
    <w:p w14:paraId="717BA89E" w14:textId="77777777" w:rsidR="001B4284" w:rsidRPr="007466EF" w:rsidRDefault="001B4284" w:rsidP="001B4284">
      <w:pPr>
        <w:jc w:val="both"/>
        <w:rPr>
          <w:bCs/>
          <w:szCs w:val="28"/>
        </w:rPr>
      </w:pPr>
      <w:r w:rsidRPr="007466EF">
        <w:rPr>
          <w:bCs/>
          <w:szCs w:val="28"/>
        </w:rPr>
        <w:t xml:space="preserve"> </w:t>
      </w:r>
    </w:p>
    <w:p w14:paraId="3000A3C5" w14:textId="693295C0" w:rsidR="001B4284" w:rsidRPr="007466EF" w:rsidRDefault="001B4284" w:rsidP="001B4284">
      <w:pPr>
        <w:jc w:val="both"/>
        <w:rPr>
          <w:bCs/>
          <w:szCs w:val="28"/>
        </w:rPr>
      </w:pPr>
      <w:r w:rsidRPr="007466EF">
        <w:rPr>
          <w:bCs/>
          <w:szCs w:val="28"/>
        </w:rPr>
        <w:t xml:space="preserve">U okviru obveza za kredite i zajmove od institucija i tijela EU, stanje obveza u iznosu od </w:t>
      </w:r>
      <w:r w:rsidR="002F0CE3" w:rsidRPr="002F0CE3">
        <w:rPr>
          <w:bCs/>
          <w:szCs w:val="28"/>
        </w:rPr>
        <w:t>3.208.250.376,41</w:t>
      </w:r>
      <w:r w:rsidR="002F0CE3">
        <w:rPr>
          <w:bCs/>
          <w:szCs w:val="28"/>
        </w:rPr>
        <w:t xml:space="preserve"> </w:t>
      </w:r>
      <w:r w:rsidRPr="007466EF">
        <w:rPr>
          <w:bCs/>
          <w:szCs w:val="28"/>
        </w:rPr>
        <w:t>eura odnosi se na zajmove EIB, privremenu potporu Europske komisije radi smanjenja rizika od nezaposlenosti u izvanrednoj situaciji nakon izbijanja bolesti COVID-19 (SURE) te obveze prema EIB za aktivirano jamstvo za Paneuropski jamstveni fond. Analitički prikaz ovih zajmova daje se u Tablici 13</w:t>
      </w:r>
      <w:r w:rsidRPr="007466EF">
        <w:rPr>
          <w:bCs/>
        </w:rPr>
        <w:t xml:space="preserve">. </w:t>
      </w:r>
    </w:p>
    <w:p w14:paraId="23978579" w14:textId="77777777" w:rsidR="001B4284" w:rsidRPr="007466EF" w:rsidRDefault="001B4284" w:rsidP="001B4284">
      <w:pPr>
        <w:jc w:val="both"/>
        <w:rPr>
          <w:bCs/>
          <w:szCs w:val="28"/>
        </w:rPr>
      </w:pPr>
    </w:p>
    <w:p w14:paraId="06E842AF" w14:textId="1A0AC13D" w:rsidR="001B4284" w:rsidRPr="007466EF" w:rsidRDefault="001B4284" w:rsidP="001B4284">
      <w:pPr>
        <w:jc w:val="both"/>
        <w:rPr>
          <w:bCs/>
          <w:szCs w:val="28"/>
        </w:rPr>
      </w:pPr>
      <w:r w:rsidRPr="007466EF">
        <w:rPr>
          <w:bCs/>
          <w:szCs w:val="28"/>
        </w:rPr>
        <w:lastRenderedPageBreak/>
        <w:t xml:space="preserve">Dodatno, Ministarstvo financija je korisnik financijskih instrumenata u okviru NPOO koji su namijenjeni kreditiranju mikro, malih i srednjih poslovnih subjekata. U provedbi kreditiranja HBOR je u ulozi posrednika u doznačavanju kredita iz financijskih instrumenata krajnjim primateljima kredita (mikro, malim i srednjim poslovnim subjektima). U 2022. Ministarstvo financija isplatilo je HBOR-u sredstva za dodjele kredita po ovoj osnovi. Sukladno </w:t>
      </w:r>
      <w:proofErr w:type="spellStart"/>
      <w:r w:rsidRPr="007466EF">
        <w:rPr>
          <w:bCs/>
          <w:szCs w:val="28"/>
        </w:rPr>
        <w:t>Eurostatovom</w:t>
      </w:r>
      <w:proofErr w:type="spellEnd"/>
      <w:r w:rsidRPr="007466EF">
        <w:rPr>
          <w:bCs/>
          <w:szCs w:val="28"/>
        </w:rPr>
        <w:t xml:space="preserve"> priručniku o državnom deficitu i dugu u dijelu koji regulira postupanja po financijskim instrumentima, korisnik financijskih instrumenata isplaćena sredstva evidentira i kao obavezu prema EU, a ne kao prihod države ako je korisnik tijelo u sustavu opće države. Ministarstvo financija je stoga kao korisnik financijskih instrumenata isplaćen iznos za dodjelu kredita po osnovi financijskih instrumenata evidentiralo kao obvezu prema EU. Prema navedenom Priručniku, obveze po toj osnovi prema tijelima EU smanjuju se u slučaju kada krajnji primatelji ne mogu vratiti zajam odnosno kredit, i u tom se slučaju za taj iznos priznaje prihod od EU. Po ovoj osnovi, stanje obaveza na 31. prosinca 2024. iznosi </w:t>
      </w:r>
      <w:r w:rsidR="002F0CE3">
        <w:rPr>
          <w:bCs/>
          <w:szCs w:val="28"/>
        </w:rPr>
        <w:t>66.361.404,05</w:t>
      </w:r>
      <w:r w:rsidRPr="007466EF">
        <w:rPr>
          <w:bCs/>
          <w:szCs w:val="28"/>
        </w:rPr>
        <w:t xml:space="preserve"> eura.</w:t>
      </w:r>
    </w:p>
    <w:p w14:paraId="1752F13E" w14:textId="77777777" w:rsidR="001B4284" w:rsidRPr="007466EF" w:rsidRDefault="001B4284" w:rsidP="001B4284">
      <w:pPr>
        <w:jc w:val="both"/>
        <w:rPr>
          <w:bCs/>
          <w:szCs w:val="28"/>
        </w:rPr>
      </w:pPr>
    </w:p>
    <w:p w14:paraId="63FD9DCE" w14:textId="77777777" w:rsidR="001B4284" w:rsidRPr="007466EF" w:rsidRDefault="001B4284" w:rsidP="001B4284">
      <w:pPr>
        <w:keepNext/>
        <w:jc w:val="both"/>
        <w:rPr>
          <w:b/>
          <w:sz w:val="20"/>
          <w:szCs w:val="20"/>
        </w:rPr>
      </w:pPr>
      <w:r w:rsidRPr="007466EF">
        <w:rPr>
          <w:b/>
          <w:sz w:val="20"/>
          <w:szCs w:val="20"/>
        </w:rPr>
        <w:t>Tablica 13. Pregled obveza za kredite i zajmove od institucija i tijela EU</w:t>
      </w:r>
    </w:p>
    <w:tbl>
      <w:tblPr>
        <w:tblW w:w="9667" w:type="dxa"/>
        <w:jc w:val="center"/>
        <w:tblLook w:val="04A0" w:firstRow="1" w:lastRow="0" w:firstColumn="1" w:lastColumn="0" w:noHBand="0" w:noVBand="1"/>
      </w:tblPr>
      <w:tblGrid>
        <w:gridCol w:w="996"/>
        <w:gridCol w:w="4138"/>
        <w:gridCol w:w="967"/>
        <w:gridCol w:w="1516"/>
        <w:gridCol w:w="2050"/>
      </w:tblGrid>
      <w:tr w:rsidR="001B4284" w:rsidRPr="007466EF" w14:paraId="54DE0203" w14:textId="77777777" w:rsidTr="000F0D22">
        <w:trPr>
          <w:trHeight w:val="945"/>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BD037" w14:textId="77777777" w:rsidR="001B4284" w:rsidRPr="007466EF" w:rsidRDefault="001B4284" w:rsidP="001B4284">
            <w:pPr>
              <w:jc w:val="center"/>
              <w:rPr>
                <w:b/>
                <w:bCs/>
                <w:sz w:val="20"/>
                <w:szCs w:val="20"/>
              </w:rPr>
            </w:pPr>
            <w:r w:rsidRPr="007466EF">
              <w:rPr>
                <w:b/>
                <w:bCs/>
                <w:sz w:val="20"/>
                <w:szCs w:val="20"/>
              </w:rPr>
              <w:t>Red. broj</w:t>
            </w:r>
          </w:p>
        </w:tc>
        <w:tc>
          <w:tcPr>
            <w:tcW w:w="4138" w:type="dxa"/>
            <w:tcBorders>
              <w:top w:val="single" w:sz="4" w:space="0" w:color="auto"/>
              <w:left w:val="nil"/>
              <w:bottom w:val="single" w:sz="4" w:space="0" w:color="auto"/>
              <w:right w:val="single" w:sz="4" w:space="0" w:color="auto"/>
            </w:tcBorders>
            <w:shd w:val="clear" w:color="auto" w:fill="auto"/>
            <w:noWrap/>
            <w:vAlign w:val="center"/>
            <w:hideMark/>
          </w:tcPr>
          <w:p w14:paraId="5B8F826E" w14:textId="77777777" w:rsidR="001B4284" w:rsidRPr="007466EF" w:rsidRDefault="001B4284" w:rsidP="001B4284">
            <w:pPr>
              <w:jc w:val="center"/>
              <w:rPr>
                <w:b/>
                <w:bCs/>
                <w:sz w:val="20"/>
                <w:szCs w:val="20"/>
              </w:rPr>
            </w:pPr>
            <w:r w:rsidRPr="007466EF">
              <w:rPr>
                <w:b/>
                <w:bCs/>
                <w:sz w:val="20"/>
                <w:szCs w:val="20"/>
              </w:rPr>
              <w:t>Namjena</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14:paraId="2B8B957F" w14:textId="77777777" w:rsidR="001B4284" w:rsidRPr="007466EF" w:rsidRDefault="001B4284" w:rsidP="001B4284">
            <w:pPr>
              <w:jc w:val="center"/>
              <w:rPr>
                <w:b/>
                <w:bCs/>
                <w:sz w:val="20"/>
                <w:szCs w:val="20"/>
              </w:rPr>
            </w:pPr>
            <w:r w:rsidRPr="007466EF">
              <w:rPr>
                <w:b/>
                <w:bCs/>
                <w:sz w:val="20"/>
                <w:szCs w:val="20"/>
              </w:rPr>
              <w:t>Banka</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24F2F351" w14:textId="77777777" w:rsidR="001B4284" w:rsidRPr="007466EF" w:rsidRDefault="001B4284" w:rsidP="001B4284">
            <w:pPr>
              <w:jc w:val="center"/>
              <w:rPr>
                <w:b/>
                <w:bCs/>
                <w:sz w:val="20"/>
                <w:szCs w:val="20"/>
              </w:rPr>
            </w:pPr>
            <w:r w:rsidRPr="007466EF">
              <w:rPr>
                <w:b/>
                <w:bCs/>
                <w:sz w:val="20"/>
                <w:szCs w:val="20"/>
              </w:rPr>
              <w:t>Valuta</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176D3D86" w14:textId="77777777" w:rsidR="001B4284" w:rsidRPr="007466EF" w:rsidRDefault="001B4284" w:rsidP="001B4284">
            <w:pPr>
              <w:jc w:val="center"/>
              <w:rPr>
                <w:b/>
                <w:bCs/>
                <w:sz w:val="20"/>
                <w:szCs w:val="20"/>
              </w:rPr>
            </w:pPr>
            <w:r w:rsidRPr="007466EF">
              <w:rPr>
                <w:b/>
                <w:bCs/>
                <w:sz w:val="20"/>
                <w:szCs w:val="20"/>
              </w:rPr>
              <w:t xml:space="preserve">Stanje obveza na 31.12.2024.              </w:t>
            </w:r>
          </w:p>
        </w:tc>
      </w:tr>
      <w:tr w:rsidR="001B4284" w:rsidRPr="007466EF" w14:paraId="0EBE41AC" w14:textId="77777777" w:rsidTr="000F0D22">
        <w:trPr>
          <w:trHeight w:val="48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400201A" w14:textId="77777777" w:rsidR="001B4284" w:rsidRPr="007466EF" w:rsidRDefault="001B4284" w:rsidP="001B4284">
            <w:pPr>
              <w:jc w:val="center"/>
              <w:rPr>
                <w:color w:val="000000"/>
                <w:sz w:val="18"/>
                <w:szCs w:val="18"/>
              </w:rPr>
            </w:pPr>
            <w:r w:rsidRPr="007466EF">
              <w:rPr>
                <w:color w:val="000000"/>
                <w:sz w:val="18"/>
                <w:szCs w:val="18"/>
              </w:rPr>
              <w:t>1.</w:t>
            </w:r>
          </w:p>
        </w:tc>
        <w:tc>
          <w:tcPr>
            <w:tcW w:w="4138" w:type="dxa"/>
            <w:tcBorders>
              <w:top w:val="nil"/>
              <w:left w:val="nil"/>
              <w:bottom w:val="single" w:sz="4" w:space="0" w:color="auto"/>
              <w:right w:val="single" w:sz="4" w:space="0" w:color="auto"/>
            </w:tcBorders>
            <w:shd w:val="clear" w:color="auto" w:fill="auto"/>
            <w:vAlign w:val="center"/>
            <w:hideMark/>
          </w:tcPr>
          <w:p w14:paraId="73DC7EAD" w14:textId="77777777" w:rsidR="001B4284" w:rsidRPr="007466EF" w:rsidRDefault="001B4284" w:rsidP="001B4284">
            <w:pPr>
              <w:rPr>
                <w:color w:val="000000"/>
                <w:sz w:val="18"/>
                <w:szCs w:val="18"/>
              </w:rPr>
            </w:pPr>
            <w:proofErr w:type="spellStart"/>
            <w:r w:rsidRPr="007466EF">
              <w:rPr>
                <w:color w:val="000000"/>
                <w:sz w:val="18"/>
                <w:szCs w:val="18"/>
              </w:rPr>
              <w:t>FINo</w:t>
            </w:r>
            <w:proofErr w:type="spellEnd"/>
            <w:r w:rsidRPr="007466EF">
              <w:rPr>
                <w:color w:val="000000"/>
                <w:sz w:val="18"/>
                <w:szCs w:val="18"/>
              </w:rPr>
              <w:t>. 22.165 - Projekt "Obnove komunalne infrastrukture na područjima od posebne državne skrbi" (5 tranši)</w:t>
            </w:r>
          </w:p>
        </w:tc>
        <w:tc>
          <w:tcPr>
            <w:tcW w:w="967" w:type="dxa"/>
            <w:tcBorders>
              <w:top w:val="nil"/>
              <w:left w:val="nil"/>
              <w:bottom w:val="single" w:sz="4" w:space="0" w:color="auto"/>
              <w:right w:val="single" w:sz="4" w:space="0" w:color="auto"/>
            </w:tcBorders>
            <w:shd w:val="clear" w:color="auto" w:fill="auto"/>
            <w:noWrap/>
            <w:vAlign w:val="center"/>
            <w:hideMark/>
          </w:tcPr>
          <w:p w14:paraId="6CF4AF00" w14:textId="77777777" w:rsidR="001B4284" w:rsidRPr="007466EF" w:rsidRDefault="001B4284" w:rsidP="001B4284">
            <w:pPr>
              <w:jc w:val="center"/>
              <w:rPr>
                <w:color w:val="000000"/>
                <w:sz w:val="18"/>
                <w:szCs w:val="18"/>
              </w:rPr>
            </w:pPr>
            <w:r w:rsidRPr="007466EF">
              <w:rPr>
                <w:color w:val="000000"/>
                <w:sz w:val="18"/>
                <w:szCs w:val="18"/>
              </w:rPr>
              <w:t>EIB</w:t>
            </w:r>
          </w:p>
        </w:tc>
        <w:tc>
          <w:tcPr>
            <w:tcW w:w="1516" w:type="dxa"/>
            <w:tcBorders>
              <w:top w:val="nil"/>
              <w:left w:val="nil"/>
              <w:bottom w:val="single" w:sz="4" w:space="0" w:color="auto"/>
              <w:right w:val="single" w:sz="4" w:space="0" w:color="auto"/>
            </w:tcBorders>
            <w:shd w:val="clear" w:color="auto" w:fill="auto"/>
            <w:noWrap/>
            <w:vAlign w:val="center"/>
            <w:hideMark/>
          </w:tcPr>
          <w:p w14:paraId="01EA9275" w14:textId="77777777" w:rsidR="001B4284" w:rsidRPr="007466EF" w:rsidRDefault="001B4284" w:rsidP="001B4284">
            <w:pPr>
              <w:jc w:val="center"/>
              <w:rPr>
                <w:color w:val="000000"/>
                <w:sz w:val="18"/>
                <w:szCs w:val="18"/>
              </w:rPr>
            </w:pPr>
            <w:r w:rsidRPr="007466EF">
              <w:rPr>
                <w:color w:val="000000"/>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1F0144EF" w14:textId="77777777" w:rsidR="001B4284" w:rsidRPr="007466EF" w:rsidRDefault="001B4284" w:rsidP="001B4284">
            <w:pPr>
              <w:jc w:val="right"/>
              <w:rPr>
                <w:color w:val="000000"/>
                <w:sz w:val="18"/>
                <w:szCs w:val="18"/>
              </w:rPr>
            </w:pPr>
            <w:r w:rsidRPr="007466EF">
              <w:rPr>
                <w:color w:val="000000"/>
                <w:sz w:val="18"/>
                <w:szCs w:val="18"/>
              </w:rPr>
              <w:t>5.044.858,42</w:t>
            </w:r>
          </w:p>
        </w:tc>
      </w:tr>
      <w:tr w:rsidR="001B4284" w:rsidRPr="007466EF" w14:paraId="31EA275A" w14:textId="77777777" w:rsidTr="000F0D22">
        <w:trPr>
          <w:trHeight w:val="48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3EA1A7C" w14:textId="77777777" w:rsidR="001B4284" w:rsidRPr="007466EF" w:rsidRDefault="001B4284" w:rsidP="001B4284">
            <w:pPr>
              <w:jc w:val="center"/>
              <w:rPr>
                <w:color w:val="000000"/>
                <w:sz w:val="18"/>
                <w:szCs w:val="18"/>
              </w:rPr>
            </w:pPr>
            <w:r w:rsidRPr="007466EF">
              <w:rPr>
                <w:color w:val="000000"/>
                <w:sz w:val="18"/>
                <w:szCs w:val="18"/>
              </w:rPr>
              <w:t>2.</w:t>
            </w:r>
          </w:p>
        </w:tc>
        <w:tc>
          <w:tcPr>
            <w:tcW w:w="4138" w:type="dxa"/>
            <w:tcBorders>
              <w:top w:val="nil"/>
              <w:left w:val="nil"/>
              <w:bottom w:val="single" w:sz="4" w:space="0" w:color="auto"/>
              <w:right w:val="single" w:sz="4" w:space="0" w:color="auto"/>
            </w:tcBorders>
            <w:shd w:val="clear" w:color="auto" w:fill="auto"/>
            <w:vAlign w:val="center"/>
            <w:hideMark/>
          </w:tcPr>
          <w:p w14:paraId="3706C6F6" w14:textId="77777777" w:rsidR="001B4284" w:rsidRPr="007466EF" w:rsidRDefault="001B4284" w:rsidP="001B4284">
            <w:pPr>
              <w:rPr>
                <w:color w:val="000000"/>
                <w:sz w:val="18"/>
                <w:szCs w:val="18"/>
              </w:rPr>
            </w:pPr>
            <w:proofErr w:type="spellStart"/>
            <w:r w:rsidRPr="007466EF">
              <w:rPr>
                <w:color w:val="000000"/>
                <w:sz w:val="18"/>
                <w:szCs w:val="18"/>
              </w:rPr>
              <w:t>FINo</w:t>
            </w:r>
            <w:proofErr w:type="spellEnd"/>
            <w:r w:rsidRPr="007466EF">
              <w:rPr>
                <w:color w:val="000000"/>
                <w:sz w:val="18"/>
                <w:szCs w:val="18"/>
              </w:rPr>
              <w:t>. 22.881 - Okvirni višesektorski zajam za komunalnu infrastrukturu za Projekt - "Integralni razvoj lokalne zajednice" (6 tranši)</w:t>
            </w:r>
          </w:p>
        </w:tc>
        <w:tc>
          <w:tcPr>
            <w:tcW w:w="967" w:type="dxa"/>
            <w:tcBorders>
              <w:top w:val="nil"/>
              <w:left w:val="nil"/>
              <w:bottom w:val="single" w:sz="4" w:space="0" w:color="auto"/>
              <w:right w:val="single" w:sz="4" w:space="0" w:color="auto"/>
            </w:tcBorders>
            <w:shd w:val="clear" w:color="auto" w:fill="auto"/>
            <w:noWrap/>
            <w:vAlign w:val="center"/>
            <w:hideMark/>
          </w:tcPr>
          <w:p w14:paraId="1A0BA2E3" w14:textId="77777777" w:rsidR="001B4284" w:rsidRPr="007466EF" w:rsidRDefault="001B4284" w:rsidP="001B4284">
            <w:pPr>
              <w:jc w:val="center"/>
              <w:rPr>
                <w:color w:val="000000"/>
                <w:sz w:val="18"/>
                <w:szCs w:val="18"/>
              </w:rPr>
            </w:pPr>
            <w:r w:rsidRPr="007466EF">
              <w:rPr>
                <w:color w:val="000000"/>
                <w:sz w:val="18"/>
                <w:szCs w:val="18"/>
              </w:rPr>
              <w:t>EIB</w:t>
            </w:r>
          </w:p>
        </w:tc>
        <w:tc>
          <w:tcPr>
            <w:tcW w:w="1516" w:type="dxa"/>
            <w:tcBorders>
              <w:top w:val="nil"/>
              <w:left w:val="nil"/>
              <w:bottom w:val="single" w:sz="4" w:space="0" w:color="auto"/>
              <w:right w:val="single" w:sz="4" w:space="0" w:color="auto"/>
            </w:tcBorders>
            <w:shd w:val="clear" w:color="auto" w:fill="auto"/>
            <w:noWrap/>
            <w:vAlign w:val="center"/>
            <w:hideMark/>
          </w:tcPr>
          <w:p w14:paraId="4B7497EF" w14:textId="77777777" w:rsidR="001B4284" w:rsidRPr="007466EF" w:rsidRDefault="001B4284" w:rsidP="001B4284">
            <w:pPr>
              <w:jc w:val="center"/>
              <w:rPr>
                <w:color w:val="000000"/>
                <w:sz w:val="18"/>
                <w:szCs w:val="18"/>
              </w:rPr>
            </w:pPr>
            <w:r w:rsidRPr="007466EF">
              <w:rPr>
                <w:color w:val="000000"/>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52F591E0" w14:textId="77777777" w:rsidR="001B4284" w:rsidRPr="007466EF" w:rsidRDefault="001B4284" w:rsidP="001B4284">
            <w:pPr>
              <w:jc w:val="right"/>
              <w:rPr>
                <w:color w:val="000000"/>
                <w:sz w:val="18"/>
                <w:szCs w:val="18"/>
              </w:rPr>
            </w:pPr>
            <w:r w:rsidRPr="007466EF">
              <w:rPr>
                <w:color w:val="000000"/>
                <w:sz w:val="18"/>
                <w:szCs w:val="18"/>
              </w:rPr>
              <w:t>33.193.333,54</w:t>
            </w:r>
          </w:p>
        </w:tc>
      </w:tr>
      <w:tr w:rsidR="001B4284" w:rsidRPr="007466EF" w14:paraId="4D0D7D51" w14:textId="77777777" w:rsidTr="000F0D22">
        <w:trPr>
          <w:trHeight w:val="48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EF46D86" w14:textId="77777777" w:rsidR="001B4284" w:rsidRPr="007466EF" w:rsidRDefault="001B4284" w:rsidP="001B4284">
            <w:pPr>
              <w:jc w:val="center"/>
              <w:rPr>
                <w:color w:val="000000"/>
                <w:sz w:val="18"/>
                <w:szCs w:val="18"/>
              </w:rPr>
            </w:pPr>
            <w:r w:rsidRPr="007466EF">
              <w:rPr>
                <w:color w:val="000000"/>
                <w:sz w:val="18"/>
                <w:szCs w:val="18"/>
              </w:rPr>
              <w:t>3.</w:t>
            </w:r>
          </w:p>
        </w:tc>
        <w:tc>
          <w:tcPr>
            <w:tcW w:w="4138" w:type="dxa"/>
            <w:tcBorders>
              <w:top w:val="nil"/>
              <w:left w:val="nil"/>
              <w:bottom w:val="single" w:sz="4" w:space="0" w:color="auto"/>
              <w:right w:val="single" w:sz="4" w:space="0" w:color="auto"/>
            </w:tcBorders>
            <w:shd w:val="clear" w:color="auto" w:fill="auto"/>
            <w:vAlign w:val="center"/>
            <w:hideMark/>
          </w:tcPr>
          <w:p w14:paraId="021AB8FA" w14:textId="77777777" w:rsidR="001B4284" w:rsidRPr="007466EF" w:rsidRDefault="001B4284" w:rsidP="001B4284">
            <w:pPr>
              <w:rPr>
                <w:color w:val="000000"/>
                <w:sz w:val="18"/>
                <w:szCs w:val="18"/>
              </w:rPr>
            </w:pPr>
            <w:proofErr w:type="spellStart"/>
            <w:r w:rsidRPr="007466EF">
              <w:rPr>
                <w:color w:val="000000"/>
                <w:sz w:val="18"/>
                <w:szCs w:val="18"/>
              </w:rPr>
              <w:t>FINo</w:t>
            </w:r>
            <w:proofErr w:type="spellEnd"/>
            <w:r w:rsidRPr="007466EF">
              <w:rPr>
                <w:color w:val="000000"/>
                <w:sz w:val="18"/>
                <w:szCs w:val="18"/>
              </w:rPr>
              <w:t>. 25.749 - Projekt sufinanciranja EU IPA ISPA 2007-2011. (5 tranši)</w:t>
            </w:r>
          </w:p>
        </w:tc>
        <w:tc>
          <w:tcPr>
            <w:tcW w:w="967" w:type="dxa"/>
            <w:tcBorders>
              <w:top w:val="nil"/>
              <w:left w:val="nil"/>
              <w:bottom w:val="single" w:sz="4" w:space="0" w:color="auto"/>
              <w:right w:val="single" w:sz="4" w:space="0" w:color="auto"/>
            </w:tcBorders>
            <w:shd w:val="clear" w:color="auto" w:fill="auto"/>
            <w:noWrap/>
            <w:vAlign w:val="center"/>
            <w:hideMark/>
          </w:tcPr>
          <w:p w14:paraId="5636F5B5" w14:textId="77777777" w:rsidR="001B4284" w:rsidRPr="007466EF" w:rsidRDefault="001B4284" w:rsidP="001B4284">
            <w:pPr>
              <w:jc w:val="center"/>
              <w:rPr>
                <w:color w:val="000000"/>
                <w:sz w:val="18"/>
                <w:szCs w:val="18"/>
              </w:rPr>
            </w:pPr>
            <w:r w:rsidRPr="007466EF">
              <w:rPr>
                <w:color w:val="000000"/>
                <w:sz w:val="18"/>
                <w:szCs w:val="18"/>
              </w:rPr>
              <w:t>EIB</w:t>
            </w:r>
          </w:p>
        </w:tc>
        <w:tc>
          <w:tcPr>
            <w:tcW w:w="1516" w:type="dxa"/>
            <w:tcBorders>
              <w:top w:val="nil"/>
              <w:left w:val="nil"/>
              <w:bottom w:val="single" w:sz="4" w:space="0" w:color="auto"/>
              <w:right w:val="single" w:sz="4" w:space="0" w:color="auto"/>
            </w:tcBorders>
            <w:shd w:val="clear" w:color="auto" w:fill="auto"/>
            <w:noWrap/>
            <w:vAlign w:val="center"/>
            <w:hideMark/>
          </w:tcPr>
          <w:p w14:paraId="157D0503" w14:textId="77777777" w:rsidR="001B4284" w:rsidRPr="007466EF" w:rsidRDefault="001B4284" w:rsidP="001B4284">
            <w:pPr>
              <w:jc w:val="center"/>
              <w:rPr>
                <w:color w:val="000000"/>
                <w:sz w:val="18"/>
                <w:szCs w:val="18"/>
              </w:rPr>
            </w:pPr>
            <w:r w:rsidRPr="007466EF">
              <w:rPr>
                <w:color w:val="000000"/>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78360FEA" w14:textId="77777777" w:rsidR="001B4284" w:rsidRPr="007466EF" w:rsidRDefault="001B4284" w:rsidP="001B4284">
            <w:pPr>
              <w:jc w:val="right"/>
              <w:rPr>
                <w:color w:val="000000"/>
                <w:sz w:val="18"/>
                <w:szCs w:val="18"/>
              </w:rPr>
            </w:pPr>
            <w:r w:rsidRPr="007466EF">
              <w:rPr>
                <w:color w:val="000000"/>
                <w:sz w:val="18"/>
                <w:szCs w:val="18"/>
              </w:rPr>
              <w:t>132.093.040,58</w:t>
            </w:r>
          </w:p>
        </w:tc>
      </w:tr>
      <w:tr w:rsidR="001B4284" w:rsidRPr="007466EF" w14:paraId="72900636" w14:textId="77777777" w:rsidTr="000F0D22">
        <w:trPr>
          <w:trHeight w:val="48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98D6944" w14:textId="77777777" w:rsidR="001B4284" w:rsidRPr="007466EF" w:rsidRDefault="001B4284" w:rsidP="001B4284">
            <w:pPr>
              <w:jc w:val="center"/>
              <w:rPr>
                <w:color w:val="000000"/>
                <w:sz w:val="18"/>
                <w:szCs w:val="18"/>
              </w:rPr>
            </w:pPr>
            <w:r w:rsidRPr="007466EF">
              <w:rPr>
                <w:color w:val="000000"/>
                <w:sz w:val="18"/>
                <w:szCs w:val="18"/>
              </w:rPr>
              <w:t>4.</w:t>
            </w:r>
          </w:p>
        </w:tc>
        <w:tc>
          <w:tcPr>
            <w:tcW w:w="4138" w:type="dxa"/>
            <w:tcBorders>
              <w:top w:val="nil"/>
              <w:left w:val="nil"/>
              <w:bottom w:val="single" w:sz="4" w:space="0" w:color="auto"/>
              <w:right w:val="single" w:sz="4" w:space="0" w:color="auto"/>
            </w:tcBorders>
            <w:shd w:val="clear" w:color="auto" w:fill="auto"/>
            <w:vAlign w:val="center"/>
            <w:hideMark/>
          </w:tcPr>
          <w:p w14:paraId="610C0B33" w14:textId="77777777" w:rsidR="001B4284" w:rsidRPr="007466EF" w:rsidRDefault="001B4284" w:rsidP="001B4284">
            <w:pPr>
              <w:rPr>
                <w:color w:val="000000"/>
                <w:sz w:val="18"/>
                <w:szCs w:val="18"/>
              </w:rPr>
            </w:pPr>
            <w:proofErr w:type="spellStart"/>
            <w:r w:rsidRPr="007466EF">
              <w:rPr>
                <w:color w:val="000000"/>
                <w:sz w:val="18"/>
                <w:szCs w:val="18"/>
              </w:rPr>
              <w:t>FINo</w:t>
            </w:r>
            <w:proofErr w:type="spellEnd"/>
            <w:r w:rsidRPr="007466EF">
              <w:rPr>
                <w:color w:val="000000"/>
                <w:sz w:val="18"/>
                <w:szCs w:val="18"/>
              </w:rPr>
              <w:t>. 31.146 - Projekt razvoja infrastrukture na otocima i u priobalju (1 tranša)</w:t>
            </w:r>
          </w:p>
        </w:tc>
        <w:tc>
          <w:tcPr>
            <w:tcW w:w="967" w:type="dxa"/>
            <w:tcBorders>
              <w:top w:val="nil"/>
              <w:left w:val="nil"/>
              <w:bottom w:val="single" w:sz="4" w:space="0" w:color="auto"/>
              <w:right w:val="single" w:sz="4" w:space="0" w:color="auto"/>
            </w:tcBorders>
            <w:shd w:val="clear" w:color="auto" w:fill="auto"/>
            <w:noWrap/>
            <w:vAlign w:val="center"/>
            <w:hideMark/>
          </w:tcPr>
          <w:p w14:paraId="261697E5" w14:textId="77777777" w:rsidR="001B4284" w:rsidRPr="007466EF" w:rsidRDefault="001B4284" w:rsidP="001B4284">
            <w:pPr>
              <w:jc w:val="center"/>
              <w:rPr>
                <w:color w:val="000000"/>
                <w:sz w:val="18"/>
                <w:szCs w:val="18"/>
              </w:rPr>
            </w:pPr>
            <w:r w:rsidRPr="007466EF">
              <w:rPr>
                <w:color w:val="000000"/>
                <w:sz w:val="18"/>
                <w:szCs w:val="18"/>
              </w:rPr>
              <w:t>EIB</w:t>
            </w:r>
          </w:p>
        </w:tc>
        <w:tc>
          <w:tcPr>
            <w:tcW w:w="1516" w:type="dxa"/>
            <w:tcBorders>
              <w:top w:val="nil"/>
              <w:left w:val="nil"/>
              <w:bottom w:val="single" w:sz="4" w:space="0" w:color="auto"/>
              <w:right w:val="single" w:sz="4" w:space="0" w:color="auto"/>
            </w:tcBorders>
            <w:shd w:val="clear" w:color="auto" w:fill="auto"/>
            <w:noWrap/>
            <w:vAlign w:val="center"/>
            <w:hideMark/>
          </w:tcPr>
          <w:p w14:paraId="4BCDE30A" w14:textId="77777777" w:rsidR="001B4284" w:rsidRPr="007466EF" w:rsidRDefault="001B4284" w:rsidP="001B4284">
            <w:pPr>
              <w:jc w:val="center"/>
              <w:rPr>
                <w:color w:val="000000"/>
                <w:sz w:val="18"/>
                <w:szCs w:val="18"/>
              </w:rPr>
            </w:pPr>
            <w:r w:rsidRPr="007466EF">
              <w:rPr>
                <w:color w:val="000000"/>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348BCEF9" w14:textId="77777777" w:rsidR="001B4284" w:rsidRPr="007466EF" w:rsidRDefault="001B4284" w:rsidP="001B4284">
            <w:pPr>
              <w:jc w:val="right"/>
              <w:rPr>
                <w:color w:val="000000"/>
                <w:sz w:val="18"/>
                <w:szCs w:val="18"/>
              </w:rPr>
            </w:pPr>
            <w:r w:rsidRPr="007466EF">
              <w:rPr>
                <w:color w:val="000000"/>
                <w:sz w:val="18"/>
                <w:szCs w:val="18"/>
              </w:rPr>
              <w:t>4.200.000,04</w:t>
            </w:r>
          </w:p>
        </w:tc>
      </w:tr>
      <w:tr w:rsidR="001B4284" w:rsidRPr="007466EF" w14:paraId="15A4F33E" w14:textId="77777777" w:rsidTr="000F0D22">
        <w:trPr>
          <w:trHeight w:val="48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A4B4B11" w14:textId="77777777" w:rsidR="001B4284" w:rsidRPr="007466EF" w:rsidRDefault="001B4284" w:rsidP="001B4284">
            <w:pPr>
              <w:jc w:val="center"/>
              <w:rPr>
                <w:color w:val="000000"/>
                <w:sz w:val="18"/>
                <w:szCs w:val="18"/>
              </w:rPr>
            </w:pPr>
            <w:r w:rsidRPr="007466EF">
              <w:rPr>
                <w:color w:val="000000"/>
                <w:sz w:val="18"/>
                <w:szCs w:val="18"/>
              </w:rPr>
              <w:t>5.</w:t>
            </w:r>
          </w:p>
        </w:tc>
        <w:tc>
          <w:tcPr>
            <w:tcW w:w="4138" w:type="dxa"/>
            <w:tcBorders>
              <w:top w:val="nil"/>
              <w:left w:val="nil"/>
              <w:bottom w:val="single" w:sz="4" w:space="0" w:color="auto"/>
              <w:right w:val="single" w:sz="4" w:space="0" w:color="auto"/>
            </w:tcBorders>
            <w:shd w:val="clear" w:color="auto" w:fill="auto"/>
            <w:vAlign w:val="center"/>
            <w:hideMark/>
          </w:tcPr>
          <w:p w14:paraId="558B91FB" w14:textId="77777777" w:rsidR="001B4284" w:rsidRPr="007466EF" w:rsidRDefault="001B4284" w:rsidP="001B4284">
            <w:pPr>
              <w:rPr>
                <w:color w:val="000000"/>
                <w:sz w:val="18"/>
                <w:szCs w:val="18"/>
              </w:rPr>
            </w:pPr>
            <w:proofErr w:type="spellStart"/>
            <w:r w:rsidRPr="007466EF">
              <w:rPr>
                <w:color w:val="000000"/>
                <w:sz w:val="18"/>
                <w:szCs w:val="18"/>
              </w:rPr>
              <w:t>FINo</w:t>
            </w:r>
            <w:proofErr w:type="spellEnd"/>
            <w:r w:rsidRPr="007466EF">
              <w:rPr>
                <w:color w:val="000000"/>
                <w:sz w:val="18"/>
                <w:szCs w:val="18"/>
              </w:rPr>
              <w:t>. 31.176 - Projekt "Financiranje vodno-komunalne infrastrukture" (1 tranša)</w:t>
            </w:r>
          </w:p>
        </w:tc>
        <w:tc>
          <w:tcPr>
            <w:tcW w:w="967" w:type="dxa"/>
            <w:tcBorders>
              <w:top w:val="nil"/>
              <w:left w:val="nil"/>
              <w:bottom w:val="single" w:sz="4" w:space="0" w:color="auto"/>
              <w:right w:val="single" w:sz="4" w:space="0" w:color="auto"/>
            </w:tcBorders>
            <w:shd w:val="clear" w:color="auto" w:fill="auto"/>
            <w:noWrap/>
            <w:vAlign w:val="center"/>
            <w:hideMark/>
          </w:tcPr>
          <w:p w14:paraId="666C3CF9" w14:textId="77777777" w:rsidR="001B4284" w:rsidRPr="007466EF" w:rsidRDefault="001B4284" w:rsidP="001B4284">
            <w:pPr>
              <w:jc w:val="center"/>
              <w:rPr>
                <w:color w:val="000000"/>
                <w:sz w:val="18"/>
                <w:szCs w:val="18"/>
              </w:rPr>
            </w:pPr>
            <w:r w:rsidRPr="007466EF">
              <w:rPr>
                <w:color w:val="000000"/>
                <w:sz w:val="18"/>
                <w:szCs w:val="18"/>
              </w:rPr>
              <w:t>EIB</w:t>
            </w:r>
          </w:p>
        </w:tc>
        <w:tc>
          <w:tcPr>
            <w:tcW w:w="1516" w:type="dxa"/>
            <w:tcBorders>
              <w:top w:val="nil"/>
              <w:left w:val="nil"/>
              <w:bottom w:val="single" w:sz="4" w:space="0" w:color="auto"/>
              <w:right w:val="single" w:sz="4" w:space="0" w:color="auto"/>
            </w:tcBorders>
            <w:shd w:val="clear" w:color="auto" w:fill="auto"/>
            <w:noWrap/>
            <w:vAlign w:val="center"/>
            <w:hideMark/>
          </w:tcPr>
          <w:p w14:paraId="616C00C9" w14:textId="77777777" w:rsidR="001B4284" w:rsidRPr="007466EF" w:rsidRDefault="001B4284" w:rsidP="001B4284">
            <w:pPr>
              <w:jc w:val="center"/>
              <w:rPr>
                <w:color w:val="000000"/>
                <w:sz w:val="18"/>
                <w:szCs w:val="18"/>
              </w:rPr>
            </w:pPr>
            <w:r w:rsidRPr="007466EF">
              <w:rPr>
                <w:color w:val="000000"/>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0767012E" w14:textId="77777777" w:rsidR="001B4284" w:rsidRPr="007466EF" w:rsidRDefault="001B4284" w:rsidP="001B4284">
            <w:pPr>
              <w:jc w:val="right"/>
              <w:rPr>
                <w:color w:val="000000"/>
                <w:sz w:val="18"/>
                <w:szCs w:val="18"/>
              </w:rPr>
            </w:pPr>
            <w:r w:rsidRPr="007466EF">
              <w:rPr>
                <w:color w:val="000000"/>
                <w:sz w:val="18"/>
                <w:szCs w:val="18"/>
              </w:rPr>
              <w:t>5.950.000,00</w:t>
            </w:r>
          </w:p>
        </w:tc>
      </w:tr>
      <w:tr w:rsidR="001B4284" w:rsidRPr="007466EF" w14:paraId="7546C61E" w14:textId="77777777" w:rsidTr="000F0D22">
        <w:trPr>
          <w:trHeight w:val="48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4144778" w14:textId="77777777" w:rsidR="001B4284" w:rsidRPr="007466EF" w:rsidRDefault="001B4284" w:rsidP="001B4284">
            <w:pPr>
              <w:jc w:val="center"/>
              <w:rPr>
                <w:color w:val="000000"/>
                <w:sz w:val="18"/>
                <w:szCs w:val="18"/>
              </w:rPr>
            </w:pPr>
            <w:r w:rsidRPr="007466EF">
              <w:rPr>
                <w:color w:val="000000"/>
                <w:sz w:val="18"/>
                <w:szCs w:val="18"/>
              </w:rPr>
              <w:t>6.</w:t>
            </w:r>
          </w:p>
        </w:tc>
        <w:tc>
          <w:tcPr>
            <w:tcW w:w="4138" w:type="dxa"/>
            <w:tcBorders>
              <w:top w:val="nil"/>
              <w:left w:val="nil"/>
              <w:bottom w:val="single" w:sz="4" w:space="0" w:color="auto"/>
              <w:right w:val="single" w:sz="4" w:space="0" w:color="auto"/>
            </w:tcBorders>
            <w:shd w:val="clear" w:color="auto" w:fill="auto"/>
            <w:vAlign w:val="center"/>
            <w:hideMark/>
          </w:tcPr>
          <w:p w14:paraId="4906BE67" w14:textId="77777777" w:rsidR="001B4284" w:rsidRPr="007466EF" w:rsidRDefault="001B4284" w:rsidP="001B4284">
            <w:pPr>
              <w:rPr>
                <w:color w:val="000000"/>
                <w:sz w:val="18"/>
                <w:szCs w:val="18"/>
              </w:rPr>
            </w:pPr>
            <w:proofErr w:type="spellStart"/>
            <w:r w:rsidRPr="007466EF">
              <w:rPr>
                <w:color w:val="000000"/>
                <w:sz w:val="18"/>
                <w:szCs w:val="18"/>
              </w:rPr>
              <w:t>FINo</w:t>
            </w:r>
            <w:proofErr w:type="spellEnd"/>
            <w:r w:rsidRPr="007466EF">
              <w:rPr>
                <w:color w:val="000000"/>
                <w:sz w:val="18"/>
                <w:szCs w:val="18"/>
              </w:rPr>
              <w:t>. 84.395 - Projekt nacionalnog sufinanciranja EU fondova u razdoblju od 2014. - 2020. godine (2 tranše)</w:t>
            </w:r>
          </w:p>
        </w:tc>
        <w:tc>
          <w:tcPr>
            <w:tcW w:w="967" w:type="dxa"/>
            <w:tcBorders>
              <w:top w:val="nil"/>
              <w:left w:val="nil"/>
              <w:bottom w:val="single" w:sz="4" w:space="0" w:color="auto"/>
              <w:right w:val="single" w:sz="4" w:space="0" w:color="auto"/>
            </w:tcBorders>
            <w:shd w:val="clear" w:color="auto" w:fill="auto"/>
            <w:noWrap/>
            <w:vAlign w:val="center"/>
            <w:hideMark/>
          </w:tcPr>
          <w:p w14:paraId="22C36058" w14:textId="77777777" w:rsidR="001B4284" w:rsidRPr="007466EF" w:rsidRDefault="001B4284" w:rsidP="001B4284">
            <w:pPr>
              <w:jc w:val="center"/>
              <w:rPr>
                <w:color w:val="000000"/>
                <w:sz w:val="18"/>
                <w:szCs w:val="18"/>
              </w:rPr>
            </w:pPr>
            <w:r w:rsidRPr="007466EF">
              <w:rPr>
                <w:color w:val="000000"/>
                <w:sz w:val="18"/>
                <w:szCs w:val="18"/>
              </w:rPr>
              <w:t>EIB</w:t>
            </w:r>
          </w:p>
        </w:tc>
        <w:tc>
          <w:tcPr>
            <w:tcW w:w="1516" w:type="dxa"/>
            <w:tcBorders>
              <w:top w:val="nil"/>
              <w:left w:val="nil"/>
              <w:bottom w:val="single" w:sz="4" w:space="0" w:color="auto"/>
              <w:right w:val="single" w:sz="4" w:space="0" w:color="auto"/>
            </w:tcBorders>
            <w:shd w:val="clear" w:color="auto" w:fill="auto"/>
            <w:noWrap/>
            <w:vAlign w:val="center"/>
            <w:hideMark/>
          </w:tcPr>
          <w:p w14:paraId="3C53CB2A" w14:textId="77777777" w:rsidR="001B4284" w:rsidRPr="007466EF" w:rsidRDefault="001B4284" w:rsidP="001B4284">
            <w:pPr>
              <w:jc w:val="center"/>
              <w:rPr>
                <w:color w:val="000000"/>
                <w:sz w:val="18"/>
                <w:szCs w:val="18"/>
              </w:rPr>
            </w:pPr>
            <w:r w:rsidRPr="007466EF">
              <w:rPr>
                <w:color w:val="000000"/>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75A5D0C3" w14:textId="77777777" w:rsidR="001B4284" w:rsidRPr="007466EF" w:rsidRDefault="001B4284" w:rsidP="001B4284">
            <w:pPr>
              <w:jc w:val="right"/>
              <w:rPr>
                <w:color w:val="000000"/>
                <w:sz w:val="18"/>
                <w:szCs w:val="18"/>
              </w:rPr>
            </w:pPr>
            <w:r w:rsidRPr="007466EF">
              <w:rPr>
                <w:color w:val="000000"/>
                <w:sz w:val="18"/>
                <w:szCs w:val="18"/>
              </w:rPr>
              <w:t>252.750.000,00</w:t>
            </w:r>
          </w:p>
        </w:tc>
      </w:tr>
      <w:tr w:rsidR="001B4284" w:rsidRPr="007466EF" w14:paraId="20442BAB" w14:textId="77777777" w:rsidTr="000F0D22">
        <w:trPr>
          <w:trHeight w:val="495"/>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72B61B6" w14:textId="77777777" w:rsidR="001B4284" w:rsidRPr="007466EF" w:rsidRDefault="001B4284" w:rsidP="001B4284">
            <w:pPr>
              <w:jc w:val="center"/>
              <w:rPr>
                <w:color w:val="000000"/>
                <w:sz w:val="18"/>
                <w:szCs w:val="18"/>
              </w:rPr>
            </w:pPr>
            <w:r w:rsidRPr="007466EF">
              <w:rPr>
                <w:color w:val="000000"/>
                <w:sz w:val="18"/>
                <w:szCs w:val="18"/>
              </w:rPr>
              <w:t>7.</w:t>
            </w:r>
          </w:p>
        </w:tc>
        <w:tc>
          <w:tcPr>
            <w:tcW w:w="4138" w:type="dxa"/>
            <w:tcBorders>
              <w:top w:val="nil"/>
              <w:left w:val="nil"/>
              <w:bottom w:val="single" w:sz="4" w:space="0" w:color="auto"/>
              <w:right w:val="single" w:sz="4" w:space="0" w:color="auto"/>
            </w:tcBorders>
            <w:shd w:val="clear" w:color="auto" w:fill="auto"/>
            <w:vAlign w:val="center"/>
            <w:hideMark/>
          </w:tcPr>
          <w:p w14:paraId="165063DA" w14:textId="77777777" w:rsidR="001B4284" w:rsidRPr="007466EF" w:rsidRDefault="001B4284" w:rsidP="001B4284">
            <w:pPr>
              <w:rPr>
                <w:color w:val="000000"/>
                <w:sz w:val="18"/>
                <w:szCs w:val="18"/>
              </w:rPr>
            </w:pPr>
            <w:proofErr w:type="spellStart"/>
            <w:r w:rsidRPr="007466EF">
              <w:rPr>
                <w:color w:val="000000"/>
                <w:sz w:val="18"/>
                <w:szCs w:val="18"/>
              </w:rPr>
              <w:t>FINo</w:t>
            </w:r>
            <w:proofErr w:type="spellEnd"/>
            <w:r w:rsidRPr="007466EF">
              <w:rPr>
                <w:color w:val="000000"/>
                <w:sz w:val="18"/>
                <w:szCs w:val="18"/>
              </w:rPr>
              <w:t>. 89.118 - Projekt nacionalnog sufinanciranja EU fondova u razdoblju od 2014. - 2020. godine / B (2 tranše)</w:t>
            </w:r>
          </w:p>
        </w:tc>
        <w:tc>
          <w:tcPr>
            <w:tcW w:w="967" w:type="dxa"/>
            <w:tcBorders>
              <w:top w:val="nil"/>
              <w:left w:val="nil"/>
              <w:bottom w:val="single" w:sz="4" w:space="0" w:color="auto"/>
              <w:right w:val="single" w:sz="4" w:space="0" w:color="auto"/>
            </w:tcBorders>
            <w:shd w:val="clear" w:color="auto" w:fill="auto"/>
            <w:noWrap/>
            <w:vAlign w:val="center"/>
            <w:hideMark/>
          </w:tcPr>
          <w:p w14:paraId="251368C8" w14:textId="77777777" w:rsidR="001B4284" w:rsidRPr="007466EF" w:rsidRDefault="001B4284" w:rsidP="001B4284">
            <w:pPr>
              <w:jc w:val="center"/>
              <w:rPr>
                <w:color w:val="000000"/>
                <w:sz w:val="18"/>
                <w:szCs w:val="18"/>
              </w:rPr>
            </w:pPr>
            <w:r w:rsidRPr="007466EF">
              <w:rPr>
                <w:color w:val="000000"/>
                <w:sz w:val="18"/>
                <w:szCs w:val="18"/>
              </w:rPr>
              <w:t>EIB</w:t>
            </w:r>
          </w:p>
        </w:tc>
        <w:tc>
          <w:tcPr>
            <w:tcW w:w="1516" w:type="dxa"/>
            <w:tcBorders>
              <w:top w:val="nil"/>
              <w:left w:val="nil"/>
              <w:bottom w:val="single" w:sz="4" w:space="0" w:color="auto"/>
              <w:right w:val="single" w:sz="4" w:space="0" w:color="auto"/>
            </w:tcBorders>
            <w:shd w:val="clear" w:color="auto" w:fill="auto"/>
            <w:noWrap/>
            <w:vAlign w:val="center"/>
            <w:hideMark/>
          </w:tcPr>
          <w:p w14:paraId="74A7782D" w14:textId="77777777" w:rsidR="001B4284" w:rsidRPr="007466EF" w:rsidRDefault="001B4284" w:rsidP="001B4284">
            <w:pPr>
              <w:jc w:val="center"/>
              <w:rPr>
                <w:color w:val="000000"/>
                <w:sz w:val="18"/>
                <w:szCs w:val="18"/>
              </w:rPr>
            </w:pPr>
            <w:r w:rsidRPr="007466EF">
              <w:rPr>
                <w:color w:val="000000"/>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57BA470A" w14:textId="77777777" w:rsidR="001B4284" w:rsidRPr="007466EF" w:rsidRDefault="001B4284" w:rsidP="001B4284">
            <w:pPr>
              <w:jc w:val="right"/>
              <w:rPr>
                <w:color w:val="000000"/>
                <w:sz w:val="18"/>
                <w:szCs w:val="18"/>
              </w:rPr>
            </w:pPr>
            <w:r w:rsidRPr="007466EF">
              <w:rPr>
                <w:color w:val="000000"/>
                <w:sz w:val="18"/>
                <w:szCs w:val="18"/>
              </w:rPr>
              <w:t>300.000.000,00</w:t>
            </w:r>
          </w:p>
        </w:tc>
      </w:tr>
      <w:tr w:rsidR="001B4284" w:rsidRPr="007466EF" w14:paraId="3A0E4718" w14:textId="77777777" w:rsidTr="000F0D22">
        <w:trPr>
          <w:trHeight w:val="495"/>
          <w:jc w:val="center"/>
        </w:trPr>
        <w:tc>
          <w:tcPr>
            <w:tcW w:w="996" w:type="dxa"/>
            <w:tcBorders>
              <w:top w:val="nil"/>
              <w:left w:val="single" w:sz="4" w:space="0" w:color="auto"/>
              <w:bottom w:val="single" w:sz="4" w:space="0" w:color="auto"/>
              <w:right w:val="single" w:sz="4" w:space="0" w:color="auto"/>
            </w:tcBorders>
            <w:shd w:val="clear" w:color="auto" w:fill="auto"/>
            <w:noWrap/>
            <w:vAlign w:val="center"/>
          </w:tcPr>
          <w:p w14:paraId="724BFB36" w14:textId="77777777" w:rsidR="001B4284" w:rsidRPr="007466EF" w:rsidRDefault="001B4284" w:rsidP="001B4284">
            <w:pPr>
              <w:jc w:val="center"/>
              <w:rPr>
                <w:color w:val="000000"/>
                <w:sz w:val="18"/>
                <w:szCs w:val="18"/>
              </w:rPr>
            </w:pPr>
            <w:r w:rsidRPr="007466EF">
              <w:rPr>
                <w:color w:val="000000"/>
                <w:sz w:val="18"/>
                <w:szCs w:val="18"/>
              </w:rPr>
              <w:t>8.</w:t>
            </w:r>
          </w:p>
        </w:tc>
        <w:tc>
          <w:tcPr>
            <w:tcW w:w="4138" w:type="dxa"/>
            <w:tcBorders>
              <w:top w:val="nil"/>
              <w:left w:val="nil"/>
              <w:bottom w:val="single" w:sz="4" w:space="0" w:color="auto"/>
              <w:right w:val="single" w:sz="4" w:space="0" w:color="auto"/>
            </w:tcBorders>
            <w:shd w:val="clear" w:color="auto" w:fill="auto"/>
            <w:vAlign w:val="center"/>
          </w:tcPr>
          <w:p w14:paraId="67F13A61" w14:textId="77777777" w:rsidR="001B4284" w:rsidRPr="007466EF" w:rsidRDefault="001B4284" w:rsidP="001B4284">
            <w:pPr>
              <w:rPr>
                <w:color w:val="000000"/>
                <w:sz w:val="18"/>
                <w:szCs w:val="18"/>
              </w:rPr>
            </w:pPr>
            <w:proofErr w:type="spellStart"/>
            <w:r w:rsidRPr="007466EF">
              <w:rPr>
                <w:color w:val="000000"/>
                <w:sz w:val="18"/>
                <w:szCs w:val="18"/>
              </w:rPr>
              <w:t>FINo</w:t>
            </w:r>
            <w:proofErr w:type="spellEnd"/>
            <w:r w:rsidRPr="007466EF">
              <w:rPr>
                <w:color w:val="000000"/>
                <w:sz w:val="18"/>
                <w:szCs w:val="18"/>
              </w:rPr>
              <w:t>. 95.797 - Projekt „Revitalizacija željezničkog sustava Republike Hrvatske“ (1 tranša)</w:t>
            </w:r>
          </w:p>
        </w:tc>
        <w:tc>
          <w:tcPr>
            <w:tcW w:w="967" w:type="dxa"/>
            <w:tcBorders>
              <w:top w:val="nil"/>
              <w:left w:val="nil"/>
              <w:bottom w:val="single" w:sz="4" w:space="0" w:color="auto"/>
              <w:right w:val="single" w:sz="4" w:space="0" w:color="auto"/>
            </w:tcBorders>
            <w:shd w:val="clear" w:color="auto" w:fill="auto"/>
            <w:noWrap/>
            <w:vAlign w:val="center"/>
          </w:tcPr>
          <w:p w14:paraId="2C598D81" w14:textId="77777777" w:rsidR="001B4284" w:rsidRPr="007466EF" w:rsidRDefault="001B4284" w:rsidP="001B4284">
            <w:pPr>
              <w:jc w:val="center"/>
              <w:rPr>
                <w:color w:val="000000"/>
                <w:sz w:val="18"/>
                <w:szCs w:val="18"/>
              </w:rPr>
            </w:pPr>
            <w:r w:rsidRPr="007466EF">
              <w:rPr>
                <w:color w:val="000000"/>
                <w:sz w:val="18"/>
                <w:szCs w:val="18"/>
              </w:rPr>
              <w:t>EIB</w:t>
            </w:r>
          </w:p>
        </w:tc>
        <w:tc>
          <w:tcPr>
            <w:tcW w:w="1516" w:type="dxa"/>
            <w:tcBorders>
              <w:top w:val="nil"/>
              <w:left w:val="nil"/>
              <w:bottom w:val="single" w:sz="4" w:space="0" w:color="auto"/>
              <w:right w:val="single" w:sz="4" w:space="0" w:color="auto"/>
            </w:tcBorders>
            <w:shd w:val="clear" w:color="auto" w:fill="auto"/>
            <w:noWrap/>
            <w:vAlign w:val="center"/>
          </w:tcPr>
          <w:p w14:paraId="029667C8" w14:textId="77777777" w:rsidR="001B4284" w:rsidRPr="007466EF" w:rsidRDefault="001B4284" w:rsidP="001B4284">
            <w:pPr>
              <w:jc w:val="center"/>
              <w:rPr>
                <w:color w:val="000000"/>
                <w:sz w:val="18"/>
                <w:szCs w:val="18"/>
              </w:rPr>
            </w:pPr>
            <w:r w:rsidRPr="007466EF">
              <w:rPr>
                <w:color w:val="000000"/>
                <w:sz w:val="18"/>
                <w:szCs w:val="18"/>
              </w:rPr>
              <w:t>EUR</w:t>
            </w:r>
          </w:p>
        </w:tc>
        <w:tc>
          <w:tcPr>
            <w:tcW w:w="2050" w:type="dxa"/>
            <w:tcBorders>
              <w:top w:val="nil"/>
              <w:left w:val="nil"/>
              <w:bottom w:val="single" w:sz="4" w:space="0" w:color="auto"/>
              <w:right w:val="single" w:sz="4" w:space="0" w:color="auto"/>
            </w:tcBorders>
            <w:shd w:val="clear" w:color="auto" w:fill="auto"/>
            <w:noWrap/>
            <w:vAlign w:val="center"/>
          </w:tcPr>
          <w:p w14:paraId="5F1815EE" w14:textId="77777777" w:rsidR="001B4284" w:rsidRPr="007466EF" w:rsidRDefault="001B4284" w:rsidP="001B4284">
            <w:pPr>
              <w:jc w:val="right"/>
              <w:rPr>
                <w:color w:val="000000"/>
                <w:sz w:val="18"/>
                <w:szCs w:val="18"/>
              </w:rPr>
            </w:pPr>
            <w:r w:rsidRPr="007466EF">
              <w:rPr>
                <w:color w:val="000000"/>
                <w:sz w:val="18"/>
                <w:szCs w:val="18"/>
              </w:rPr>
              <w:t>108.500.000,00</w:t>
            </w:r>
          </w:p>
        </w:tc>
      </w:tr>
      <w:tr w:rsidR="001B4284" w:rsidRPr="007466EF" w14:paraId="1744B25B" w14:textId="77777777" w:rsidTr="000F0D22">
        <w:trPr>
          <w:trHeight w:val="270"/>
          <w:jc w:val="center"/>
        </w:trPr>
        <w:tc>
          <w:tcPr>
            <w:tcW w:w="99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50CA4952" w14:textId="77777777" w:rsidR="001B4284" w:rsidRPr="007466EF" w:rsidRDefault="001B4284" w:rsidP="001B4284">
            <w:pPr>
              <w:jc w:val="center"/>
              <w:rPr>
                <w:b/>
                <w:bCs/>
                <w:sz w:val="18"/>
                <w:szCs w:val="18"/>
              </w:rPr>
            </w:pPr>
            <w:r w:rsidRPr="007466EF">
              <w:rPr>
                <w:b/>
                <w:bCs/>
                <w:sz w:val="18"/>
                <w:szCs w:val="18"/>
              </w:rPr>
              <w:t>UKUPNO</w:t>
            </w:r>
          </w:p>
        </w:tc>
        <w:tc>
          <w:tcPr>
            <w:tcW w:w="4138" w:type="dxa"/>
            <w:tcBorders>
              <w:top w:val="double" w:sz="6" w:space="0" w:color="auto"/>
              <w:left w:val="nil"/>
              <w:bottom w:val="double" w:sz="6" w:space="0" w:color="auto"/>
              <w:right w:val="double" w:sz="6" w:space="0" w:color="auto"/>
            </w:tcBorders>
            <w:shd w:val="clear" w:color="auto" w:fill="auto"/>
            <w:noWrap/>
            <w:vAlign w:val="center"/>
            <w:hideMark/>
          </w:tcPr>
          <w:p w14:paraId="7B6BB450" w14:textId="77777777" w:rsidR="001B4284" w:rsidRPr="007466EF" w:rsidRDefault="001B4284" w:rsidP="001B4284">
            <w:pPr>
              <w:rPr>
                <w:b/>
                <w:bCs/>
                <w:sz w:val="18"/>
                <w:szCs w:val="18"/>
              </w:rPr>
            </w:pPr>
            <w:r w:rsidRPr="007466EF">
              <w:rPr>
                <w:b/>
                <w:bCs/>
                <w:sz w:val="18"/>
                <w:szCs w:val="18"/>
              </w:rPr>
              <w:t> </w:t>
            </w:r>
          </w:p>
        </w:tc>
        <w:tc>
          <w:tcPr>
            <w:tcW w:w="967" w:type="dxa"/>
            <w:tcBorders>
              <w:top w:val="double" w:sz="6" w:space="0" w:color="auto"/>
              <w:left w:val="nil"/>
              <w:bottom w:val="double" w:sz="6" w:space="0" w:color="auto"/>
              <w:right w:val="double" w:sz="6" w:space="0" w:color="auto"/>
            </w:tcBorders>
            <w:shd w:val="clear" w:color="auto" w:fill="auto"/>
            <w:noWrap/>
            <w:vAlign w:val="center"/>
            <w:hideMark/>
          </w:tcPr>
          <w:p w14:paraId="6DF165FC" w14:textId="77777777" w:rsidR="001B4284" w:rsidRPr="007466EF" w:rsidRDefault="001B4284" w:rsidP="001B4284">
            <w:pPr>
              <w:jc w:val="center"/>
              <w:rPr>
                <w:b/>
                <w:bCs/>
                <w:sz w:val="18"/>
                <w:szCs w:val="18"/>
              </w:rPr>
            </w:pPr>
            <w:r w:rsidRPr="007466EF">
              <w:rPr>
                <w:b/>
                <w:bCs/>
                <w:sz w:val="18"/>
                <w:szCs w:val="18"/>
              </w:rPr>
              <w:t>EIB</w:t>
            </w:r>
          </w:p>
        </w:tc>
        <w:tc>
          <w:tcPr>
            <w:tcW w:w="1516" w:type="dxa"/>
            <w:tcBorders>
              <w:top w:val="double" w:sz="6" w:space="0" w:color="auto"/>
              <w:left w:val="nil"/>
              <w:bottom w:val="double" w:sz="6" w:space="0" w:color="auto"/>
              <w:right w:val="double" w:sz="6" w:space="0" w:color="auto"/>
            </w:tcBorders>
            <w:shd w:val="clear" w:color="auto" w:fill="auto"/>
            <w:noWrap/>
            <w:vAlign w:val="center"/>
            <w:hideMark/>
          </w:tcPr>
          <w:p w14:paraId="60E25760" w14:textId="77777777" w:rsidR="001B4284" w:rsidRPr="007466EF" w:rsidRDefault="001B4284" w:rsidP="001B4284">
            <w:pPr>
              <w:jc w:val="center"/>
              <w:rPr>
                <w:b/>
                <w:bCs/>
                <w:sz w:val="18"/>
                <w:szCs w:val="18"/>
              </w:rPr>
            </w:pPr>
            <w:r w:rsidRPr="007466EF">
              <w:rPr>
                <w:b/>
                <w:bCs/>
                <w:sz w:val="18"/>
                <w:szCs w:val="18"/>
              </w:rPr>
              <w:t>EUR</w:t>
            </w:r>
          </w:p>
        </w:tc>
        <w:tc>
          <w:tcPr>
            <w:tcW w:w="2050" w:type="dxa"/>
            <w:tcBorders>
              <w:top w:val="double" w:sz="6" w:space="0" w:color="auto"/>
              <w:left w:val="nil"/>
              <w:bottom w:val="double" w:sz="6" w:space="0" w:color="auto"/>
              <w:right w:val="double" w:sz="6" w:space="0" w:color="auto"/>
            </w:tcBorders>
            <w:shd w:val="clear" w:color="auto" w:fill="auto"/>
            <w:noWrap/>
            <w:vAlign w:val="center"/>
            <w:hideMark/>
          </w:tcPr>
          <w:p w14:paraId="663EEE31" w14:textId="77777777" w:rsidR="001B4284" w:rsidRPr="007466EF" w:rsidRDefault="001B4284" w:rsidP="001B4284">
            <w:pPr>
              <w:jc w:val="right"/>
              <w:rPr>
                <w:b/>
                <w:bCs/>
                <w:sz w:val="18"/>
                <w:szCs w:val="18"/>
              </w:rPr>
            </w:pPr>
            <w:r w:rsidRPr="007466EF">
              <w:rPr>
                <w:b/>
                <w:bCs/>
                <w:sz w:val="18"/>
                <w:szCs w:val="18"/>
              </w:rPr>
              <w:t>841.731.232,58</w:t>
            </w:r>
          </w:p>
        </w:tc>
      </w:tr>
      <w:tr w:rsidR="001B4284" w:rsidRPr="007466EF" w14:paraId="4287FD59" w14:textId="77777777" w:rsidTr="000F0D22">
        <w:trPr>
          <w:trHeight w:val="735"/>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B1DC2" w14:textId="77777777" w:rsidR="001B4284" w:rsidRPr="007466EF" w:rsidRDefault="001B4284" w:rsidP="001B4284">
            <w:pPr>
              <w:jc w:val="center"/>
              <w:rPr>
                <w:sz w:val="18"/>
                <w:szCs w:val="18"/>
              </w:rPr>
            </w:pPr>
            <w:r w:rsidRPr="007466EF">
              <w:rPr>
                <w:sz w:val="18"/>
                <w:szCs w:val="18"/>
              </w:rPr>
              <w:t>9.</w:t>
            </w:r>
          </w:p>
        </w:tc>
        <w:tc>
          <w:tcPr>
            <w:tcW w:w="4138" w:type="dxa"/>
            <w:tcBorders>
              <w:top w:val="single" w:sz="4" w:space="0" w:color="auto"/>
              <w:left w:val="nil"/>
              <w:bottom w:val="single" w:sz="4" w:space="0" w:color="auto"/>
              <w:right w:val="single" w:sz="4" w:space="0" w:color="auto"/>
            </w:tcBorders>
            <w:shd w:val="clear" w:color="auto" w:fill="auto"/>
            <w:vAlign w:val="center"/>
            <w:hideMark/>
          </w:tcPr>
          <w:p w14:paraId="2B316702" w14:textId="77777777" w:rsidR="001B4284" w:rsidRPr="007466EF" w:rsidRDefault="001B4284" w:rsidP="001B4284">
            <w:pPr>
              <w:rPr>
                <w:color w:val="000000"/>
                <w:sz w:val="18"/>
                <w:szCs w:val="18"/>
              </w:rPr>
            </w:pPr>
            <w:r w:rsidRPr="007466EF">
              <w:rPr>
                <w:color w:val="000000"/>
                <w:sz w:val="18"/>
                <w:szCs w:val="18"/>
              </w:rPr>
              <w:t>Privremena potpora radi smanjenja rizika od nezaposlenosti u izvanrednoj situaciji nakon izbijanja bolesti COVID-19 (SURE) - I. tranša</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14:paraId="21496ECD" w14:textId="77777777" w:rsidR="001B4284" w:rsidRPr="007466EF" w:rsidRDefault="001B4284" w:rsidP="001B4284">
            <w:pPr>
              <w:jc w:val="center"/>
              <w:rPr>
                <w:sz w:val="18"/>
                <w:szCs w:val="18"/>
              </w:rPr>
            </w:pPr>
            <w:r w:rsidRPr="007466EF">
              <w:rPr>
                <w:sz w:val="18"/>
                <w:szCs w:val="18"/>
              </w:rPr>
              <w:t>EK</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14:paraId="192C755C" w14:textId="77777777" w:rsidR="001B4284" w:rsidRPr="007466EF" w:rsidRDefault="001B4284" w:rsidP="001B4284">
            <w:pPr>
              <w:jc w:val="center"/>
              <w:rPr>
                <w:sz w:val="18"/>
                <w:szCs w:val="18"/>
              </w:rPr>
            </w:pPr>
            <w:r w:rsidRPr="007466EF">
              <w:rPr>
                <w:sz w:val="18"/>
                <w:szCs w:val="18"/>
              </w:rPr>
              <w:t>EUR</w:t>
            </w:r>
          </w:p>
        </w:tc>
        <w:tc>
          <w:tcPr>
            <w:tcW w:w="2050" w:type="dxa"/>
            <w:tcBorders>
              <w:top w:val="single" w:sz="4" w:space="0" w:color="auto"/>
              <w:left w:val="nil"/>
              <w:bottom w:val="single" w:sz="4" w:space="0" w:color="auto"/>
              <w:right w:val="single" w:sz="4" w:space="0" w:color="auto"/>
            </w:tcBorders>
            <w:shd w:val="clear" w:color="auto" w:fill="auto"/>
            <w:noWrap/>
            <w:vAlign w:val="center"/>
            <w:hideMark/>
          </w:tcPr>
          <w:p w14:paraId="599EF774" w14:textId="77777777" w:rsidR="001B4284" w:rsidRPr="007466EF" w:rsidRDefault="001B4284" w:rsidP="001B4284">
            <w:pPr>
              <w:jc w:val="right"/>
              <w:rPr>
                <w:color w:val="000000"/>
                <w:sz w:val="18"/>
                <w:szCs w:val="18"/>
              </w:rPr>
            </w:pPr>
            <w:r w:rsidRPr="007466EF">
              <w:rPr>
                <w:color w:val="000000"/>
                <w:sz w:val="18"/>
                <w:szCs w:val="18"/>
              </w:rPr>
              <w:t>340.000.000,00</w:t>
            </w:r>
          </w:p>
        </w:tc>
      </w:tr>
      <w:tr w:rsidR="001B4284" w:rsidRPr="007466EF" w14:paraId="5CA9844A" w14:textId="77777777" w:rsidTr="000F0D22">
        <w:trPr>
          <w:trHeight w:val="72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60F21DC" w14:textId="77777777" w:rsidR="001B4284" w:rsidRPr="007466EF" w:rsidRDefault="001B4284" w:rsidP="001B4284">
            <w:pPr>
              <w:jc w:val="center"/>
              <w:rPr>
                <w:sz w:val="18"/>
                <w:szCs w:val="18"/>
              </w:rPr>
            </w:pPr>
            <w:r w:rsidRPr="007466EF">
              <w:rPr>
                <w:sz w:val="18"/>
                <w:szCs w:val="18"/>
              </w:rPr>
              <w:t>10.</w:t>
            </w:r>
          </w:p>
        </w:tc>
        <w:tc>
          <w:tcPr>
            <w:tcW w:w="4138" w:type="dxa"/>
            <w:tcBorders>
              <w:top w:val="nil"/>
              <w:left w:val="nil"/>
              <w:bottom w:val="single" w:sz="4" w:space="0" w:color="auto"/>
              <w:right w:val="single" w:sz="4" w:space="0" w:color="auto"/>
            </w:tcBorders>
            <w:shd w:val="clear" w:color="auto" w:fill="auto"/>
            <w:vAlign w:val="center"/>
            <w:hideMark/>
          </w:tcPr>
          <w:p w14:paraId="3D92EFA8" w14:textId="77777777" w:rsidR="001B4284" w:rsidRPr="007466EF" w:rsidRDefault="001B4284" w:rsidP="001B4284">
            <w:pPr>
              <w:rPr>
                <w:color w:val="000000"/>
                <w:sz w:val="18"/>
                <w:szCs w:val="18"/>
              </w:rPr>
            </w:pPr>
            <w:r w:rsidRPr="007466EF">
              <w:rPr>
                <w:color w:val="000000"/>
                <w:sz w:val="18"/>
                <w:szCs w:val="18"/>
              </w:rPr>
              <w:t>Privremena potpora radi smanjenja rizika od nezaposlenosti u izvanrednoj situaciji nakon izbijanja bolesti COVID-19 (SURE) - II. tranša</w:t>
            </w:r>
          </w:p>
        </w:tc>
        <w:tc>
          <w:tcPr>
            <w:tcW w:w="967" w:type="dxa"/>
            <w:tcBorders>
              <w:top w:val="nil"/>
              <w:left w:val="nil"/>
              <w:bottom w:val="single" w:sz="4" w:space="0" w:color="auto"/>
              <w:right w:val="single" w:sz="4" w:space="0" w:color="auto"/>
            </w:tcBorders>
            <w:shd w:val="clear" w:color="auto" w:fill="auto"/>
            <w:noWrap/>
            <w:vAlign w:val="center"/>
            <w:hideMark/>
          </w:tcPr>
          <w:p w14:paraId="4900C7E3" w14:textId="77777777" w:rsidR="001B4284" w:rsidRPr="007466EF" w:rsidRDefault="001B4284" w:rsidP="001B4284">
            <w:pPr>
              <w:jc w:val="center"/>
              <w:rPr>
                <w:sz w:val="18"/>
                <w:szCs w:val="18"/>
              </w:rPr>
            </w:pPr>
            <w:r w:rsidRPr="007466EF">
              <w:rPr>
                <w:sz w:val="18"/>
                <w:szCs w:val="18"/>
              </w:rPr>
              <w:t>EK</w:t>
            </w:r>
          </w:p>
        </w:tc>
        <w:tc>
          <w:tcPr>
            <w:tcW w:w="1516" w:type="dxa"/>
            <w:tcBorders>
              <w:top w:val="nil"/>
              <w:left w:val="nil"/>
              <w:bottom w:val="single" w:sz="4" w:space="0" w:color="auto"/>
              <w:right w:val="single" w:sz="4" w:space="0" w:color="auto"/>
            </w:tcBorders>
            <w:shd w:val="clear" w:color="auto" w:fill="auto"/>
            <w:noWrap/>
            <w:vAlign w:val="center"/>
            <w:hideMark/>
          </w:tcPr>
          <w:p w14:paraId="3E0130B9" w14:textId="77777777" w:rsidR="001B4284" w:rsidRPr="007466EF" w:rsidRDefault="001B4284" w:rsidP="001B4284">
            <w:pPr>
              <w:jc w:val="center"/>
              <w:rPr>
                <w:sz w:val="18"/>
                <w:szCs w:val="18"/>
              </w:rPr>
            </w:pPr>
            <w:r w:rsidRPr="007466EF">
              <w:rPr>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4EB6FA34" w14:textId="77777777" w:rsidR="001B4284" w:rsidRPr="007466EF" w:rsidRDefault="001B4284" w:rsidP="001B4284">
            <w:pPr>
              <w:jc w:val="right"/>
              <w:rPr>
                <w:color w:val="000000"/>
                <w:sz w:val="18"/>
                <w:szCs w:val="18"/>
              </w:rPr>
            </w:pPr>
            <w:r w:rsidRPr="007466EF">
              <w:rPr>
                <w:color w:val="000000"/>
                <w:sz w:val="18"/>
                <w:szCs w:val="18"/>
              </w:rPr>
              <w:t>170.000.000,00</w:t>
            </w:r>
          </w:p>
        </w:tc>
      </w:tr>
      <w:tr w:rsidR="001B4284" w:rsidRPr="007466EF" w14:paraId="2848CC9D" w14:textId="77777777" w:rsidTr="000F0D22">
        <w:trPr>
          <w:trHeight w:val="72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E44FE32" w14:textId="77777777" w:rsidR="001B4284" w:rsidRPr="007466EF" w:rsidRDefault="001B4284" w:rsidP="001B4284">
            <w:pPr>
              <w:jc w:val="center"/>
              <w:rPr>
                <w:sz w:val="18"/>
                <w:szCs w:val="18"/>
              </w:rPr>
            </w:pPr>
            <w:r w:rsidRPr="007466EF">
              <w:rPr>
                <w:sz w:val="18"/>
                <w:szCs w:val="18"/>
              </w:rPr>
              <w:t>11.</w:t>
            </w:r>
          </w:p>
        </w:tc>
        <w:tc>
          <w:tcPr>
            <w:tcW w:w="4138" w:type="dxa"/>
            <w:tcBorders>
              <w:top w:val="nil"/>
              <w:left w:val="nil"/>
              <w:bottom w:val="single" w:sz="4" w:space="0" w:color="auto"/>
              <w:right w:val="single" w:sz="4" w:space="0" w:color="auto"/>
            </w:tcBorders>
            <w:shd w:val="clear" w:color="auto" w:fill="auto"/>
            <w:vAlign w:val="center"/>
            <w:hideMark/>
          </w:tcPr>
          <w:p w14:paraId="67D8B2E8" w14:textId="77777777" w:rsidR="001B4284" w:rsidRPr="007466EF" w:rsidRDefault="001B4284" w:rsidP="001B4284">
            <w:pPr>
              <w:rPr>
                <w:color w:val="000000"/>
                <w:sz w:val="18"/>
                <w:szCs w:val="18"/>
              </w:rPr>
            </w:pPr>
            <w:r w:rsidRPr="007466EF">
              <w:rPr>
                <w:color w:val="000000"/>
                <w:sz w:val="18"/>
                <w:szCs w:val="18"/>
              </w:rPr>
              <w:t>Privremena potpora radi smanjenja rizika od nezaposlenosti u izvanrednoj situaciji nakon izbijanja bolesti COVID-19 (SURE) - III. tranša</w:t>
            </w:r>
          </w:p>
        </w:tc>
        <w:tc>
          <w:tcPr>
            <w:tcW w:w="967" w:type="dxa"/>
            <w:tcBorders>
              <w:top w:val="nil"/>
              <w:left w:val="nil"/>
              <w:bottom w:val="single" w:sz="4" w:space="0" w:color="auto"/>
              <w:right w:val="single" w:sz="4" w:space="0" w:color="auto"/>
            </w:tcBorders>
            <w:shd w:val="clear" w:color="auto" w:fill="auto"/>
            <w:noWrap/>
            <w:vAlign w:val="center"/>
            <w:hideMark/>
          </w:tcPr>
          <w:p w14:paraId="7F545A19" w14:textId="77777777" w:rsidR="001B4284" w:rsidRPr="007466EF" w:rsidRDefault="001B4284" w:rsidP="001B4284">
            <w:pPr>
              <w:jc w:val="center"/>
              <w:rPr>
                <w:sz w:val="18"/>
                <w:szCs w:val="18"/>
              </w:rPr>
            </w:pPr>
            <w:r w:rsidRPr="007466EF">
              <w:rPr>
                <w:sz w:val="18"/>
                <w:szCs w:val="18"/>
              </w:rPr>
              <w:t>EK</w:t>
            </w:r>
          </w:p>
        </w:tc>
        <w:tc>
          <w:tcPr>
            <w:tcW w:w="1516" w:type="dxa"/>
            <w:tcBorders>
              <w:top w:val="nil"/>
              <w:left w:val="nil"/>
              <w:bottom w:val="single" w:sz="4" w:space="0" w:color="auto"/>
              <w:right w:val="single" w:sz="4" w:space="0" w:color="auto"/>
            </w:tcBorders>
            <w:shd w:val="clear" w:color="auto" w:fill="auto"/>
            <w:noWrap/>
            <w:vAlign w:val="center"/>
            <w:hideMark/>
          </w:tcPr>
          <w:p w14:paraId="62117FE5" w14:textId="77777777" w:rsidR="001B4284" w:rsidRPr="007466EF" w:rsidRDefault="001B4284" w:rsidP="001B4284">
            <w:pPr>
              <w:jc w:val="center"/>
              <w:rPr>
                <w:sz w:val="18"/>
                <w:szCs w:val="18"/>
              </w:rPr>
            </w:pPr>
            <w:r w:rsidRPr="007466EF">
              <w:rPr>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5464561F" w14:textId="77777777" w:rsidR="001B4284" w:rsidRPr="007466EF" w:rsidRDefault="001B4284" w:rsidP="001B4284">
            <w:pPr>
              <w:jc w:val="right"/>
              <w:rPr>
                <w:color w:val="000000"/>
                <w:sz w:val="18"/>
                <w:szCs w:val="18"/>
              </w:rPr>
            </w:pPr>
            <w:r w:rsidRPr="007466EF">
              <w:rPr>
                <w:color w:val="000000"/>
                <w:sz w:val="18"/>
                <w:szCs w:val="18"/>
              </w:rPr>
              <w:t>510.000.000,00</w:t>
            </w:r>
          </w:p>
        </w:tc>
      </w:tr>
      <w:tr w:rsidR="001B4284" w:rsidRPr="007466EF" w14:paraId="1F2269A6" w14:textId="77777777" w:rsidTr="000F0D22">
        <w:trPr>
          <w:trHeight w:val="735"/>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BDE655A" w14:textId="77777777" w:rsidR="001B4284" w:rsidRPr="007466EF" w:rsidRDefault="001B4284" w:rsidP="001B4284">
            <w:pPr>
              <w:jc w:val="center"/>
              <w:rPr>
                <w:sz w:val="18"/>
                <w:szCs w:val="18"/>
              </w:rPr>
            </w:pPr>
            <w:r w:rsidRPr="007466EF">
              <w:rPr>
                <w:sz w:val="18"/>
                <w:szCs w:val="18"/>
              </w:rPr>
              <w:t>12.</w:t>
            </w:r>
          </w:p>
        </w:tc>
        <w:tc>
          <w:tcPr>
            <w:tcW w:w="4138" w:type="dxa"/>
            <w:tcBorders>
              <w:top w:val="nil"/>
              <w:left w:val="nil"/>
              <w:bottom w:val="single" w:sz="4" w:space="0" w:color="auto"/>
              <w:right w:val="single" w:sz="4" w:space="0" w:color="auto"/>
            </w:tcBorders>
            <w:shd w:val="clear" w:color="auto" w:fill="auto"/>
            <w:vAlign w:val="center"/>
            <w:hideMark/>
          </w:tcPr>
          <w:p w14:paraId="6DE2D7A7" w14:textId="77777777" w:rsidR="001B4284" w:rsidRPr="007466EF" w:rsidRDefault="001B4284" w:rsidP="001B4284">
            <w:pPr>
              <w:rPr>
                <w:color w:val="000000"/>
                <w:sz w:val="18"/>
                <w:szCs w:val="18"/>
              </w:rPr>
            </w:pPr>
            <w:r w:rsidRPr="007466EF">
              <w:rPr>
                <w:color w:val="000000"/>
                <w:sz w:val="18"/>
                <w:szCs w:val="18"/>
              </w:rPr>
              <w:t>Privremena potpora radi smanjenja rizika od nezaposlenosti u izvanrednoj situaciji nakon izbijanja bolesti COVID-19 (SURE) - IV. tranša</w:t>
            </w:r>
          </w:p>
        </w:tc>
        <w:tc>
          <w:tcPr>
            <w:tcW w:w="967" w:type="dxa"/>
            <w:tcBorders>
              <w:top w:val="nil"/>
              <w:left w:val="nil"/>
              <w:bottom w:val="single" w:sz="4" w:space="0" w:color="auto"/>
              <w:right w:val="single" w:sz="4" w:space="0" w:color="auto"/>
            </w:tcBorders>
            <w:shd w:val="clear" w:color="auto" w:fill="auto"/>
            <w:noWrap/>
            <w:vAlign w:val="center"/>
            <w:hideMark/>
          </w:tcPr>
          <w:p w14:paraId="32781715" w14:textId="77777777" w:rsidR="001B4284" w:rsidRPr="007466EF" w:rsidRDefault="001B4284" w:rsidP="001B4284">
            <w:pPr>
              <w:jc w:val="center"/>
              <w:rPr>
                <w:sz w:val="18"/>
                <w:szCs w:val="18"/>
              </w:rPr>
            </w:pPr>
            <w:r w:rsidRPr="007466EF">
              <w:rPr>
                <w:sz w:val="18"/>
                <w:szCs w:val="18"/>
              </w:rPr>
              <w:t>EK</w:t>
            </w:r>
          </w:p>
        </w:tc>
        <w:tc>
          <w:tcPr>
            <w:tcW w:w="1516" w:type="dxa"/>
            <w:tcBorders>
              <w:top w:val="nil"/>
              <w:left w:val="nil"/>
              <w:bottom w:val="single" w:sz="4" w:space="0" w:color="auto"/>
              <w:right w:val="single" w:sz="4" w:space="0" w:color="auto"/>
            </w:tcBorders>
            <w:shd w:val="clear" w:color="auto" w:fill="auto"/>
            <w:noWrap/>
            <w:vAlign w:val="center"/>
            <w:hideMark/>
          </w:tcPr>
          <w:p w14:paraId="441A4C62" w14:textId="77777777" w:rsidR="001B4284" w:rsidRPr="007466EF" w:rsidRDefault="001B4284" w:rsidP="001B4284">
            <w:pPr>
              <w:jc w:val="center"/>
              <w:rPr>
                <w:sz w:val="18"/>
                <w:szCs w:val="18"/>
              </w:rPr>
            </w:pPr>
            <w:r w:rsidRPr="007466EF">
              <w:rPr>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3FF11794" w14:textId="77777777" w:rsidR="001B4284" w:rsidRPr="007466EF" w:rsidRDefault="001B4284" w:rsidP="001B4284">
            <w:pPr>
              <w:jc w:val="right"/>
              <w:rPr>
                <w:color w:val="000000"/>
                <w:sz w:val="18"/>
                <w:szCs w:val="18"/>
              </w:rPr>
            </w:pPr>
            <w:r w:rsidRPr="007466EF">
              <w:rPr>
                <w:color w:val="000000"/>
                <w:sz w:val="18"/>
                <w:szCs w:val="18"/>
              </w:rPr>
              <w:t>550.000.000,00</w:t>
            </w:r>
          </w:p>
        </w:tc>
      </w:tr>
      <w:tr w:rsidR="001B4284" w:rsidRPr="007466EF" w14:paraId="167227E7" w14:textId="77777777" w:rsidTr="000F0D22">
        <w:trPr>
          <w:trHeight w:val="735"/>
          <w:jc w:val="center"/>
        </w:trPr>
        <w:tc>
          <w:tcPr>
            <w:tcW w:w="996" w:type="dxa"/>
            <w:tcBorders>
              <w:top w:val="nil"/>
              <w:left w:val="single" w:sz="4" w:space="0" w:color="auto"/>
              <w:bottom w:val="single" w:sz="4" w:space="0" w:color="auto"/>
              <w:right w:val="single" w:sz="4" w:space="0" w:color="auto"/>
            </w:tcBorders>
            <w:shd w:val="clear" w:color="auto" w:fill="auto"/>
            <w:noWrap/>
            <w:vAlign w:val="center"/>
          </w:tcPr>
          <w:p w14:paraId="063BD9D4" w14:textId="77777777" w:rsidR="001B4284" w:rsidRPr="007466EF" w:rsidRDefault="001B4284" w:rsidP="001B4284">
            <w:pPr>
              <w:jc w:val="center"/>
              <w:rPr>
                <w:sz w:val="18"/>
                <w:szCs w:val="18"/>
              </w:rPr>
            </w:pPr>
            <w:r w:rsidRPr="007466EF">
              <w:rPr>
                <w:sz w:val="18"/>
                <w:szCs w:val="18"/>
              </w:rPr>
              <w:t>13.</w:t>
            </w:r>
          </w:p>
        </w:tc>
        <w:tc>
          <w:tcPr>
            <w:tcW w:w="4138" w:type="dxa"/>
            <w:tcBorders>
              <w:top w:val="nil"/>
              <w:left w:val="nil"/>
              <w:bottom w:val="single" w:sz="4" w:space="0" w:color="auto"/>
              <w:right w:val="single" w:sz="4" w:space="0" w:color="auto"/>
            </w:tcBorders>
            <w:shd w:val="clear" w:color="auto" w:fill="auto"/>
            <w:vAlign w:val="center"/>
          </w:tcPr>
          <w:p w14:paraId="4120494C" w14:textId="77777777" w:rsidR="001B4284" w:rsidRPr="007466EF" w:rsidRDefault="001B4284" w:rsidP="001B4284">
            <w:pPr>
              <w:rPr>
                <w:color w:val="000000"/>
                <w:sz w:val="18"/>
                <w:szCs w:val="18"/>
              </w:rPr>
            </w:pPr>
            <w:r w:rsidRPr="007466EF">
              <w:rPr>
                <w:color w:val="000000"/>
                <w:sz w:val="18"/>
                <w:szCs w:val="18"/>
              </w:rPr>
              <w:t>Sporazum o zajmu između Komisije i Republike Hrvatske u okviru Mehanizma za oporavak i otpornost - predujam (0. tranša)</w:t>
            </w:r>
          </w:p>
        </w:tc>
        <w:tc>
          <w:tcPr>
            <w:tcW w:w="967" w:type="dxa"/>
            <w:tcBorders>
              <w:top w:val="nil"/>
              <w:left w:val="nil"/>
              <w:bottom w:val="single" w:sz="4" w:space="0" w:color="auto"/>
              <w:right w:val="single" w:sz="4" w:space="0" w:color="auto"/>
            </w:tcBorders>
            <w:shd w:val="clear" w:color="auto" w:fill="auto"/>
            <w:noWrap/>
            <w:vAlign w:val="center"/>
          </w:tcPr>
          <w:p w14:paraId="0EA8B3B1" w14:textId="77777777" w:rsidR="001B4284" w:rsidRPr="007466EF" w:rsidRDefault="001B4284" w:rsidP="001B4284">
            <w:pPr>
              <w:jc w:val="center"/>
              <w:rPr>
                <w:sz w:val="18"/>
                <w:szCs w:val="18"/>
              </w:rPr>
            </w:pPr>
            <w:r w:rsidRPr="007466EF">
              <w:rPr>
                <w:sz w:val="18"/>
                <w:szCs w:val="18"/>
              </w:rPr>
              <w:t>EK</w:t>
            </w:r>
          </w:p>
        </w:tc>
        <w:tc>
          <w:tcPr>
            <w:tcW w:w="1516" w:type="dxa"/>
            <w:tcBorders>
              <w:top w:val="nil"/>
              <w:left w:val="nil"/>
              <w:bottom w:val="single" w:sz="4" w:space="0" w:color="auto"/>
              <w:right w:val="single" w:sz="4" w:space="0" w:color="auto"/>
            </w:tcBorders>
            <w:shd w:val="clear" w:color="auto" w:fill="auto"/>
            <w:noWrap/>
            <w:vAlign w:val="center"/>
          </w:tcPr>
          <w:p w14:paraId="790240EC" w14:textId="77777777" w:rsidR="001B4284" w:rsidRPr="007466EF" w:rsidRDefault="001B4284" w:rsidP="001B4284">
            <w:pPr>
              <w:jc w:val="center"/>
              <w:rPr>
                <w:sz w:val="18"/>
                <w:szCs w:val="18"/>
              </w:rPr>
            </w:pPr>
            <w:r w:rsidRPr="007466EF">
              <w:rPr>
                <w:sz w:val="18"/>
                <w:szCs w:val="18"/>
              </w:rPr>
              <w:t>EUR</w:t>
            </w:r>
          </w:p>
        </w:tc>
        <w:tc>
          <w:tcPr>
            <w:tcW w:w="2050" w:type="dxa"/>
            <w:tcBorders>
              <w:top w:val="nil"/>
              <w:left w:val="nil"/>
              <w:bottom w:val="single" w:sz="4" w:space="0" w:color="auto"/>
              <w:right w:val="single" w:sz="4" w:space="0" w:color="auto"/>
            </w:tcBorders>
            <w:shd w:val="clear" w:color="auto" w:fill="auto"/>
            <w:noWrap/>
            <w:vAlign w:val="center"/>
          </w:tcPr>
          <w:p w14:paraId="6681A3B4" w14:textId="77777777" w:rsidR="001B4284" w:rsidRPr="007466EF" w:rsidRDefault="001B4284" w:rsidP="001B4284">
            <w:pPr>
              <w:jc w:val="right"/>
              <w:rPr>
                <w:color w:val="000000"/>
                <w:sz w:val="18"/>
                <w:szCs w:val="18"/>
              </w:rPr>
            </w:pPr>
            <w:r w:rsidRPr="007466EF">
              <w:rPr>
                <w:color w:val="000000"/>
                <w:sz w:val="18"/>
                <w:szCs w:val="18"/>
              </w:rPr>
              <w:t>529.884.336,00</w:t>
            </w:r>
          </w:p>
        </w:tc>
      </w:tr>
      <w:tr w:rsidR="001B4284" w:rsidRPr="007466EF" w14:paraId="3E06352D" w14:textId="77777777" w:rsidTr="000F0D22">
        <w:trPr>
          <w:trHeight w:val="735"/>
          <w:jc w:val="center"/>
        </w:trPr>
        <w:tc>
          <w:tcPr>
            <w:tcW w:w="996" w:type="dxa"/>
            <w:tcBorders>
              <w:top w:val="nil"/>
              <w:left w:val="single" w:sz="4" w:space="0" w:color="auto"/>
              <w:bottom w:val="single" w:sz="4" w:space="0" w:color="auto"/>
              <w:right w:val="single" w:sz="4" w:space="0" w:color="auto"/>
            </w:tcBorders>
            <w:shd w:val="clear" w:color="auto" w:fill="auto"/>
            <w:noWrap/>
            <w:vAlign w:val="center"/>
          </w:tcPr>
          <w:p w14:paraId="347197E5" w14:textId="77777777" w:rsidR="001B4284" w:rsidRPr="007466EF" w:rsidRDefault="001B4284" w:rsidP="001B4284">
            <w:pPr>
              <w:jc w:val="center"/>
              <w:rPr>
                <w:sz w:val="18"/>
                <w:szCs w:val="18"/>
              </w:rPr>
            </w:pPr>
            <w:r w:rsidRPr="007466EF">
              <w:rPr>
                <w:sz w:val="18"/>
                <w:szCs w:val="18"/>
              </w:rPr>
              <w:lastRenderedPageBreak/>
              <w:t>14.</w:t>
            </w:r>
          </w:p>
        </w:tc>
        <w:tc>
          <w:tcPr>
            <w:tcW w:w="4138" w:type="dxa"/>
            <w:tcBorders>
              <w:top w:val="nil"/>
              <w:left w:val="nil"/>
              <w:bottom w:val="single" w:sz="4" w:space="0" w:color="auto"/>
              <w:right w:val="single" w:sz="4" w:space="0" w:color="auto"/>
            </w:tcBorders>
            <w:shd w:val="clear" w:color="auto" w:fill="auto"/>
            <w:vAlign w:val="center"/>
          </w:tcPr>
          <w:p w14:paraId="04DCF0E8" w14:textId="77777777" w:rsidR="001B4284" w:rsidRPr="007466EF" w:rsidRDefault="001B4284" w:rsidP="001B4284">
            <w:pPr>
              <w:rPr>
                <w:color w:val="000000"/>
                <w:sz w:val="18"/>
                <w:szCs w:val="18"/>
              </w:rPr>
            </w:pPr>
            <w:r w:rsidRPr="007466EF">
              <w:rPr>
                <w:color w:val="000000"/>
                <w:sz w:val="18"/>
                <w:szCs w:val="18"/>
              </w:rPr>
              <w:t>Sporazum o zajmu između Komisije i Republike Hrvatske u okviru Mehanizma za oporavak i otpornost - I. tranša</w:t>
            </w:r>
          </w:p>
        </w:tc>
        <w:tc>
          <w:tcPr>
            <w:tcW w:w="967" w:type="dxa"/>
            <w:tcBorders>
              <w:top w:val="nil"/>
              <w:left w:val="nil"/>
              <w:bottom w:val="single" w:sz="4" w:space="0" w:color="auto"/>
              <w:right w:val="single" w:sz="4" w:space="0" w:color="auto"/>
            </w:tcBorders>
            <w:shd w:val="clear" w:color="auto" w:fill="auto"/>
            <w:noWrap/>
            <w:vAlign w:val="center"/>
          </w:tcPr>
          <w:p w14:paraId="2B12970D" w14:textId="77777777" w:rsidR="001B4284" w:rsidRPr="007466EF" w:rsidRDefault="001B4284" w:rsidP="001B4284">
            <w:pPr>
              <w:jc w:val="center"/>
              <w:rPr>
                <w:sz w:val="18"/>
                <w:szCs w:val="18"/>
              </w:rPr>
            </w:pPr>
            <w:r w:rsidRPr="007466EF">
              <w:rPr>
                <w:sz w:val="18"/>
                <w:szCs w:val="18"/>
              </w:rPr>
              <w:t>EK</w:t>
            </w:r>
          </w:p>
        </w:tc>
        <w:tc>
          <w:tcPr>
            <w:tcW w:w="1516" w:type="dxa"/>
            <w:tcBorders>
              <w:top w:val="nil"/>
              <w:left w:val="nil"/>
              <w:bottom w:val="single" w:sz="4" w:space="0" w:color="auto"/>
              <w:right w:val="single" w:sz="4" w:space="0" w:color="auto"/>
            </w:tcBorders>
            <w:shd w:val="clear" w:color="auto" w:fill="auto"/>
            <w:noWrap/>
            <w:vAlign w:val="center"/>
          </w:tcPr>
          <w:p w14:paraId="03398BFE" w14:textId="77777777" w:rsidR="001B4284" w:rsidRPr="007466EF" w:rsidRDefault="001B4284" w:rsidP="001B4284">
            <w:pPr>
              <w:jc w:val="center"/>
              <w:rPr>
                <w:sz w:val="18"/>
                <w:szCs w:val="18"/>
              </w:rPr>
            </w:pPr>
            <w:r w:rsidRPr="007466EF">
              <w:rPr>
                <w:sz w:val="18"/>
                <w:szCs w:val="18"/>
              </w:rPr>
              <w:t>EUR</w:t>
            </w:r>
          </w:p>
        </w:tc>
        <w:tc>
          <w:tcPr>
            <w:tcW w:w="2050" w:type="dxa"/>
            <w:tcBorders>
              <w:top w:val="nil"/>
              <w:left w:val="nil"/>
              <w:bottom w:val="single" w:sz="4" w:space="0" w:color="auto"/>
              <w:right w:val="single" w:sz="4" w:space="0" w:color="auto"/>
            </w:tcBorders>
            <w:shd w:val="clear" w:color="auto" w:fill="auto"/>
            <w:noWrap/>
            <w:vAlign w:val="center"/>
          </w:tcPr>
          <w:p w14:paraId="51BC4093" w14:textId="77777777" w:rsidR="001B4284" w:rsidRPr="007466EF" w:rsidRDefault="001B4284" w:rsidP="001B4284">
            <w:pPr>
              <w:jc w:val="right"/>
              <w:rPr>
                <w:color w:val="000000"/>
                <w:sz w:val="18"/>
                <w:szCs w:val="18"/>
              </w:rPr>
            </w:pPr>
            <w:r w:rsidRPr="007466EF">
              <w:rPr>
                <w:color w:val="000000"/>
                <w:sz w:val="18"/>
                <w:szCs w:val="18"/>
              </w:rPr>
              <w:t>266.019.474,00</w:t>
            </w:r>
          </w:p>
        </w:tc>
      </w:tr>
      <w:tr w:rsidR="001B4284" w:rsidRPr="007466EF" w14:paraId="18D68CAA" w14:textId="77777777" w:rsidTr="000F0D22">
        <w:trPr>
          <w:trHeight w:val="270"/>
          <w:jc w:val="center"/>
        </w:trPr>
        <w:tc>
          <w:tcPr>
            <w:tcW w:w="99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0F32CDCD" w14:textId="77777777" w:rsidR="001B4284" w:rsidRPr="007466EF" w:rsidRDefault="001B4284" w:rsidP="001B4284">
            <w:pPr>
              <w:jc w:val="center"/>
              <w:rPr>
                <w:b/>
                <w:bCs/>
                <w:sz w:val="18"/>
                <w:szCs w:val="18"/>
              </w:rPr>
            </w:pPr>
            <w:r w:rsidRPr="007466EF">
              <w:rPr>
                <w:b/>
                <w:bCs/>
                <w:sz w:val="18"/>
                <w:szCs w:val="18"/>
              </w:rPr>
              <w:t>UKUPNO</w:t>
            </w:r>
          </w:p>
        </w:tc>
        <w:tc>
          <w:tcPr>
            <w:tcW w:w="4138" w:type="dxa"/>
            <w:tcBorders>
              <w:top w:val="double" w:sz="6" w:space="0" w:color="auto"/>
              <w:left w:val="nil"/>
              <w:bottom w:val="double" w:sz="6" w:space="0" w:color="auto"/>
              <w:right w:val="double" w:sz="6" w:space="0" w:color="auto"/>
            </w:tcBorders>
            <w:shd w:val="clear" w:color="auto" w:fill="auto"/>
            <w:noWrap/>
            <w:vAlign w:val="center"/>
            <w:hideMark/>
          </w:tcPr>
          <w:p w14:paraId="2B0DEBC5" w14:textId="77777777" w:rsidR="001B4284" w:rsidRPr="007466EF" w:rsidRDefault="001B4284" w:rsidP="001B4284">
            <w:pPr>
              <w:rPr>
                <w:b/>
                <w:bCs/>
                <w:sz w:val="18"/>
                <w:szCs w:val="18"/>
              </w:rPr>
            </w:pPr>
            <w:r w:rsidRPr="007466EF">
              <w:rPr>
                <w:b/>
                <w:bCs/>
                <w:sz w:val="18"/>
                <w:szCs w:val="18"/>
              </w:rPr>
              <w:t> </w:t>
            </w:r>
          </w:p>
        </w:tc>
        <w:tc>
          <w:tcPr>
            <w:tcW w:w="967" w:type="dxa"/>
            <w:tcBorders>
              <w:top w:val="double" w:sz="6" w:space="0" w:color="auto"/>
              <w:left w:val="nil"/>
              <w:bottom w:val="double" w:sz="6" w:space="0" w:color="auto"/>
              <w:right w:val="double" w:sz="6" w:space="0" w:color="auto"/>
            </w:tcBorders>
            <w:shd w:val="clear" w:color="auto" w:fill="auto"/>
            <w:noWrap/>
            <w:vAlign w:val="center"/>
            <w:hideMark/>
          </w:tcPr>
          <w:p w14:paraId="501AA42E" w14:textId="77777777" w:rsidR="001B4284" w:rsidRPr="007466EF" w:rsidRDefault="001B4284" w:rsidP="001B4284">
            <w:pPr>
              <w:jc w:val="center"/>
              <w:rPr>
                <w:b/>
                <w:bCs/>
                <w:sz w:val="18"/>
                <w:szCs w:val="18"/>
              </w:rPr>
            </w:pPr>
            <w:r w:rsidRPr="007466EF">
              <w:rPr>
                <w:b/>
                <w:bCs/>
                <w:sz w:val="18"/>
                <w:szCs w:val="18"/>
              </w:rPr>
              <w:t>EK</w:t>
            </w:r>
          </w:p>
        </w:tc>
        <w:tc>
          <w:tcPr>
            <w:tcW w:w="1516" w:type="dxa"/>
            <w:tcBorders>
              <w:top w:val="double" w:sz="6" w:space="0" w:color="auto"/>
              <w:left w:val="nil"/>
              <w:bottom w:val="double" w:sz="6" w:space="0" w:color="auto"/>
              <w:right w:val="double" w:sz="6" w:space="0" w:color="auto"/>
            </w:tcBorders>
            <w:shd w:val="clear" w:color="auto" w:fill="auto"/>
            <w:noWrap/>
            <w:vAlign w:val="center"/>
            <w:hideMark/>
          </w:tcPr>
          <w:p w14:paraId="29195AB8" w14:textId="77777777" w:rsidR="001B4284" w:rsidRPr="007466EF" w:rsidRDefault="001B4284" w:rsidP="001B4284">
            <w:pPr>
              <w:jc w:val="center"/>
              <w:rPr>
                <w:b/>
                <w:bCs/>
                <w:sz w:val="18"/>
                <w:szCs w:val="18"/>
              </w:rPr>
            </w:pPr>
            <w:r w:rsidRPr="007466EF">
              <w:rPr>
                <w:b/>
                <w:bCs/>
                <w:sz w:val="18"/>
                <w:szCs w:val="18"/>
              </w:rPr>
              <w:t>EUR</w:t>
            </w:r>
          </w:p>
        </w:tc>
        <w:tc>
          <w:tcPr>
            <w:tcW w:w="2050" w:type="dxa"/>
            <w:tcBorders>
              <w:top w:val="double" w:sz="6" w:space="0" w:color="auto"/>
              <w:left w:val="nil"/>
              <w:bottom w:val="double" w:sz="6" w:space="0" w:color="auto"/>
              <w:right w:val="double" w:sz="6" w:space="0" w:color="auto"/>
            </w:tcBorders>
            <w:shd w:val="clear" w:color="auto" w:fill="auto"/>
            <w:noWrap/>
            <w:vAlign w:val="center"/>
            <w:hideMark/>
          </w:tcPr>
          <w:p w14:paraId="4CBA0ECC" w14:textId="77777777" w:rsidR="001B4284" w:rsidRPr="007466EF" w:rsidRDefault="001B4284" w:rsidP="001B4284">
            <w:pPr>
              <w:jc w:val="right"/>
              <w:rPr>
                <w:b/>
                <w:bCs/>
                <w:sz w:val="18"/>
                <w:szCs w:val="18"/>
              </w:rPr>
            </w:pPr>
            <w:r w:rsidRPr="007466EF">
              <w:rPr>
                <w:b/>
                <w:bCs/>
                <w:sz w:val="18"/>
                <w:szCs w:val="18"/>
              </w:rPr>
              <w:t>2.365.903.810,00</w:t>
            </w:r>
          </w:p>
        </w:tc>
      </w:tr>
      <w:tr w:rsidR="001B4284" w:rsidRPr="007466EF" w14:paraId="4BE94B47" w14:textId="77777777" w:rsidTr="000F0D22">
        <w:trPr>
          <w:trHeight w:val="990"/>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F2674" w14:textId="77777777" w:rsidR="001B4284" w:rsidRPr="007466EF" w:rsidRDefault="001B4284" w:rsidP="001B4284">
            <w:pPr>
              <w:jc w:val="center"/>
              <w:rPr>
                <w:sz w:val="18"/>
                <w:szCs w:val="18"/>
              </w:rPr>
            </w:pPr>
            <w:r w:rsidRPr="007466EF">
              <w:rPr>
                <w:sz w:val="18"/>
                <w:szCs w:val="18"/>
              </w:rPr>
              <w:t>15.</w:t>
            </w:r>
          </w:p>
        </w:tc>
        <w:tc>
          <w:tcPr>
            <w:tcW w:w="4138" w:type="dxa"/>
            <w:tcBorders>
              <w:top w:val="single" w:sz="4" w:space="0" w:color="auto"/>
              <w:left w:val="nil"/>
              <w:bottom w:val="single" w:sz="4" w:space="0" w:color="auto"/>
              <w:right w:val="single" w:sz="4" w:space="0" w:color="auto"/>
            </w:tcBorders>
            <w:shd w:val="clear" w:color="auto" w:fill="auto"/>
            <w:vAlign w:val="center"/>
            <w:hideMark/>
          </w:tcPr>
          <w:p w14:paraId="00D32209" w14:textId="77777777" w:rsidR="001B4284" w:rsidRPr="007466EF" w:rsidRDefault="001B4284" w:rsidP="001B4284">
            <w:pPr>
              <w:rPr>
                <w:color w:val="000000"/>
                <w:sz w:val="18"/>
                <w:szCs w:val="18"/>
              </w:rPr>
            </w:pPr>
            <w:r w:rsidRPr="007466EF">
              <w:rPr>
                <w:color w:val="000000"/>
                <w:sz w:val="18"/>
                <w:szCs w:val="18"/>
              </w:rPr>
              <w:t xml:space="preserve">Pristupanje Republike Hrvatske Paneuropskom jamstvenom fondu kao odgovor na COVID-19 koji se pokreće u okviru Europske investicijske banke, kao dio odgovora EU na ekonomsku krizu izazvanu COVID-19 </w:t>
            </w:r>
            <w:proofErr w:type="spellStart"/>
            <w:r w:rsidRPr="007466EF">
              <w:rPr>
                <w:color w:val="000000"/>
                <w:sz w:val="18"/>
                <w:szCs w:val="18"/>
              </w:rPr>
              <w:t>pandemijom</w:t>
            </w:r>
            <w:proofErr w:type="spellEnd"/>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14:paraId="3ECD6A58" w14:textId="77777777" w:rsidR="001B4284" w:rsidRPr="007466EF" w:rsidRDefault="001B4284" w:rsidP="001B4284">
            <w:pPr>
              <w:jc w:val="center"/>
              <w:rPr>
                <w:sz w:val="18"/>
                <w:szCs w:val="18"/>
              </w:rPr>
            </w:pPr>
            <w:r w:rsidRPr="007466EF">
              <w:rPr>
                <w:sz w:val="18"/>
                <w:szCs w:val="18"/>
              </w:rPr>
              <w:t>EIB</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14:paraId="697578DA" w14:textId="77777777" w:rsidR="001B4284" w:rsidRPr="007466EF" w:rsidRDefault="001B4284" w:rsidP="001B4284">
            <w:pPr>
              <w:jc w:val="center"/>
              <w:rPr>
                <w:sz w:val="18"/>
                <w:szCs w:val="18"/>
              </w:rPr>
            </w:pPr>
            <w:r w:rsidRPr="007466EF">
              <w:rPr>
                <w:sz w:val="18"/>
                <w:szCs w:val="18"/>
              </w:rPr>
              <w:t>EUR</w:t>
            </w:r>
          </w:p>
        </w:tc>
        <w:tc>
          <w:tcPr>
            <w:tcW w:w="2050" w:type="dxa"/>
            <w:tcBorders>
              <w:top w:val="single" w:sz="4" w:space="0" w:color="auto"/>
              <w:left w:val="nil"/>
              <w:bottom w:val="single" w:sz="4" w:space="0" w:color="auto"/>
              <w:right w:val="single" w:sz="4" w:space="0" w:color="auto"/>
            </w:tcBorders>
            <w:shd w:val="clear" w:color="auto" w:fill="auto"/>
            <w:noWrap/>
            <w:vAlign w:val="center"/>
            <w:hideMark/>
          </w:tcPr>
          <w:p w14:paraId="5AAA220E" w14:textId="77777777" w:rsidR="001B4284" w:rsidRPr="007466EF" w:rsidRDefault="001B4284" w:rsidP="001B4284">
            <w:pPr>
              <w:jc w:val="right"/>
              <w:rPr>
                <w:color w:val="000000"/>
                <w:sz w:val="18"/>
                <w:szCs w:val="18"/>
              </w:rPr>
            </w:pPr>
            <w:r w:rsidRPr="007466EF">
              <w:rPr>
                <w:color w:val="000000"/>
                <w:sz w:val="18"/>
                <w:szCs w:val="18"/>
              </w:rPr>
              <w:t>615.333.,83</w:t>
            </w:r>
          </w:p>
        </w:tc>
      </w:tr>
      <w:tr w:rsidR="001B4284" w:rsidRPr="007466EF" w14:paraId="637497FD" w14:textId="77777777" w:rsidTr="000F0D22">
        <w:trPr>
          <w:trHeight w:val="315"/>
          <w:jc w:val="center"/>
        </w:trPr>
        <w:tc>
          <w:tcPr>
            <w:tcW w:w="99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4FF9B49D" w14:textId="77777777" w:rsidR="001B4284" w:rsidRPr="007466EF" w:rsidRDefault="001B4284" w:rsidP="001B4284">
            <w:pPr>
              <w:jc w:val="center"/>
              <w:rPr>
                <w:b/>
                <w:bCs/>
                <w:sz w:val="18"/>
                <w:szCs w:val="18"/>
              </w:rPr>
            </w:pPr>
            <w:r w:rsidRPr="007466EF">
              <w:rPr>
                <w:b/>
                <w:bCs/>
                <w:sz w:val="18"/>
                <w:szCs w:val="18"/>
              </w:rPr>
              <w:t>UKUPNO</w:t>
            </w:r>
          </w:p>
        </w:tc>
        <w:tc>
          <w:tcPr>
            <w:tcW w:w="4138" w:type="dxa"/>
            <w:tcBorders>
              <w:top w:val="double" w:sz="6" w:space="0" w:color="auto"/>
              <w:left w:val="nil"/>
              <w:bottom w:val="double" w:sz="6" w:space="0" w:color="auto"/>
              <w:right w:val="double" w:sz="6" w:space="0" w:color="auto"/>
            </w:tcBorders>
            <w:shd w:val="clear" w:color="auto" w:fill="auto"/>
            <w:noWrap/>
            <w:vAlign w:val="center"/>
            <w:hideMark/>
          </w:tcPr>
          <w:p w14:paraId="3992D25D" w14:textId="77777777" w:rsidR="001B4284" w:rsidRPr="007466EF" w:rsidRDefault="001B4284" w:rsidP="001B4284">
            <w:pPr>
              <w:rPr>
                <w:b/>
                <w:bCs/>
                <w:sz w:val="18"/>
                <w:szCs w:val="18"/>
              </w:rPr>
            </w:pPr>
            <w:r w:rsidRPr="007466EF">
              <w:rPr>
                <w:b/>
                <w:bCs/>
                <w:sz w:val="18"/>
                <w:szCs w:val="18"/>
              </w:rPr>
              <w:t> </w:t>
            </w:r>
          </w:p>
        </w:tc>
        <w:tc>
          <w:tcPr>
            <w:tcW w:w="967" w:type="dxa"/>
            <w:tcBorders>
              <w:top w:val="double" w:sz="6" w:space="0" w:color="auto"/>
              <w:left w:val="nil"/>
              <w:bottom w:val="double" w:sz="6" w:space="0" w:color="auto"/>
              <w:right w:val="double" w:sz="6" w:space="0" w:color="auto"/>
            </w:tcBorders>
            <w:shd w:val="clear" w:color="auto" w:fill="auto"/>
            <w:noWrap/>
            <w:vAlign w:val="center"/>
            <w:hideMark/>
          </w:tcPr>
          <w:p w14:paraId="509CFFC4" w14:textId="77777777" w:rsidR="001B4284" w:rsidRPr="007466EF" w:rsidRDefault="001B4284" w:rsidP="001B4284">
            <w:pPr>
              <w:jc w:val="center"/>
              <w:rPr>
                <w:b/>
                <w:bCs/>
                <w:sz w:val="18"/>
                <w:szCs w:val="18"/>
              </w:rPr>
            </w:pPr>
            <w:r w:rsidRPr="007466EF">
              <w:rPr>
                <w:b/>
                <w:bCs/>
                <w:sz w:val="18"/>
                <w:szCs w:val="18"/>
              </w:rPr>
              <w:t>EIB</w:t>
            </w:r>
          </w:p>
        </w:tc>
        <w:tc>
          <w:tcPr>
            <w:tcW w:w="1516" w:type="dxa"/>
            <w:tcBorders>
              <w:top w:val="double" w:sz="6" w:space="0" w:color="auto"/>
              <w:left w:val="nil"/>
              <w:bottom w:val="double" w:sz="6" w:space="0" w:color="auto"/>
              <w:right w:val="double" w:sz="6" w:space="0" w:color="auto"/>
            </w:tcBorders>
            <w:shd w:val="clear" w:color="auto" w:fill="auto"/>
            <w:noWrap/>
            <w:vAlign w:val="center"/>
            <w:hideMark/>
          </w:tcPr>
          <w:p w14:paraId="320CF512" w14:textId="77777777" w:rsidR="001B4284" w:rsidRPr="007466EF" w:rsidRDefault="001B4284" w:rsidP="001B4284">
            <w:pPr>
              <w:jc w:val="center"/>
              <w:rPr>
                <w:b/>
                <w:bCs/>
                <w:sz w:val="18"/>
                <w:szCs w:val="18"/>
              </w:rPr>
            </w:pPr>
            <w:r w:rsidRPr="007466EF">
              <w:rPr>
                <w:b/>
                <w:bCs/>
                <w:sz w:val="18"/>
                <w:szCs w:val="18"/>
              </w:rPr>
              <w:t>EUR</w:t>
            </w:r>
          </w:p>
        </w:tc>
        <w:tc>
          <w:tcPr>
            <w:tcW w:w="2050" w:type="dxa"/>
            <w:tcBorders>
              <w:top w:val="double" w:sz="6" w:space="0" w:color="auto"/>
              <w:left w:val="nil"/>
              <w:bottom w:val="double" w:sz="6" w:space="0" w:color="auto"/>
              <w:right w:val="double" w:sz="6" w:space="0" w:color="auto"/>
            </w:tcBorders>
            <w:shd w:val="clear" w:color="auto" w:fill="auto"/>
            <w:noWrap/>
            <w:vAlign w:val="center"/>
            <w:hideMark/>
          </w:tcPr>
          <w:p w14:paraId="36227879" w14:textId="77777777" w:rsidR="001B4284" w:rsidRPr="007466EF" w:rsidRDefault="001B4284" w:rsidP="001B4284">
            <w:pPr>
              <w:jc w:val="right"/>
              <w:rPr>
                <w:b/>
                <w:bCs/>
                <w:sz w:val="18"/>
                <w:szCs w:val="18"/>
              </w:rPr>
            </w:pPr>
            <w:r w:rsidRPr="007466EF">
              <w:rPr>
                <w:b/>
                <w:bCs/>
                <w:sz w:val="18"/>
                <w:szCs w:val="18"/>
              </w:rPr>
              <w:t>615.333,83</w:t>
            </w:r>
          </w:p>
        </w:tc>
      </w:tr>
      <w:tr w:rsidR="001B4284" w:rsidRPr="007466EF" w14:paraId="2CA728E9" w14:textId="77777777" w:rsidTr="000F0D22">
        <w:trPr>
          <w:trHeight w:val="315"/>
          <w:jc w:val="center"/>
        </w:trPr>
        <w:tc>
          <w:tcPr>
            <w:tcW w:w="6101"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AF7C38B" w14:textId="77777777" w:rsidR="001B4284" w:rsidRPr="007466EF" w:rsidRDefault="001B4284" w:rsidP="001B4284">
            <w:pPr>
              <w:rPr>
                <w:b/>
                <w:bCs/>
                <w:sz w:val="20"/>
                <w:szCs w:val="20"/>
              </w:rPr>
            </w:pPr>
            <w:r w:rsidRPr="007466EF">
              <w:rPr>
                <w:b/>
                <w:bCs/>
                <w:sz w:val="20"/>
                <w:szCs w:val="20"/>
              </w:rPr>
              <w:t>SVEUKUPNO</w:t>
            </w:r>
          </w:p>
        </w:tc>
        <w:tc>
          <w:tcPr>
            <w:tcW w:w="1516" w:type="dxa"/>
            <w:tcBorders>
              <w:top w:val="single" w:sz="12" w:space="0" w:color="auto"/>
              <w:left w:val="nil"/>
              <w:bottom w:val="single" w:sz="12" w:space="0" w:color="auto"/>
              <w:right w:val="single" w:sz="12" w:space="0" w:color="auto"/>
            </w:tcBorders>
            <w:shd w:val="clear" w:color="auto" w:fill="auto"/>
            <w:noWrap/>
            <w:vAlign w:val="center"/>
            <w:hideMark/>
          </w:tcPr>
          <w:p w14:paraId="5E155DEC" w14:textId="77777777" w:rsidR="001B4284" w:rsidRPr="007466EF" w:rsidRDefault="001B4284" w:rsidP="001B4284">
            <w:pPr>
              <w:jc w:val="center"/>
              <w:rPr>
                <w:b/>
                <w:bCs/>
                <w:sz w:val="20"/>
                <w:szCs w:val="20"/>
              </w:rPr>
            </w:pPr>
            <w:r w:rsidRPr="007466EF">
              <w:rPr>
                <w:b/>
                <w:bCs/>
                <w:sz w:val="20"/>
                <w:szCs w:val="20"/>
              </w:rPr>
              <w:t>EUR</w:t>
            </w:r>
          </w:p>
        </w:tc>
        <w:tc>
          <w:tcPr>
            <w:tcW w:w="2050" w:type="dxa"/>
            <w:tcBorders>
              <w:top w:val="single" w:sz="12" w:space="0" w:color="auto"/>
              <w:left w:val="nil"/>
              <w:bottom w:val="single" w:sz="12" w:space="0" w:color="auto"/>
              <w:right w:val="single" w:sz="12" w:space="0" w:color="auto"/>
            </w:tcBorders>
            <w:shd w:val="clear" w:color="auto" w:fill="auto"/>
            <w:noWrap/>
            <w:vAlign w:val="center"/>
            <w:hideMark/>
          </w:tcPr>
          <w:p w14:paraId="74C109F0" w14:textId="77777777" w:rsidR="001B4284" w:rsidRPr="007466EF" w:rsidRDefault="001B4284" w:rsidP="001B4284">
            <w:pPr>
              <w:jc w:val="right"/>
              <w:rPr>
                <w:b/>
                <w:bCs/>
                <w:sz w:val="20"/>
                <w:szCs w:val="20"/>
              </w:rPr>
            </w:pPr>
            <w:r w:rsidRPr="007466EF">
              <w:rPr>
                <w:b/>
                <w:bCs/>
                <w:sz w:val="20"/>
                <w:szCs w:val="20"/>
              </w:rPr>
              <w:t>3.208.250.376,41</w:t>
            </w:r>
          </w:p>
        </w:tc>
      </w:tr>
    </w:tbl>
    <w:p w14:paraId="23D93BB4" w14:textId="77777777" w:rsidR="001B4284" w:rsidRPr="00FB0E6E" w:rsidRDefault="001B4284" w:rsidP="00FB0E6E">
      <w:pPr>
        <w:jc w:val="both"/>
      </w:pPr>
    </w:p>
    <w:p w14:paraId="5FD41FB0" w14:textId="77777777" w:rsidR="001B4284" w:rsidRPr="007466EF" w:rsidRDefault="001B4284" w:rsidP="001B4284">
      <w:pPr>
        <w:jc w:val="center"/>
        <w:rPr>
          <w:bCs/>
          <w:sz w:val="28"/>
          <w:szCs w:val="28"/>
        </w:rPr>
      </w:pPr>
      <w:r w:rsidRPr="007466EF">
        <w:rPr>
          <w:bCs/>
          <w:sz w:val="28"/>
          <w:szCs w:val="28"/>
        </w:rPr>
        <w:t>Bilješka 27.</w:t>
      </w:r>
    </w:p>
    <w:p w14:paraId="67D07EB9" w14:textId="77777777" w:rsidR="001B4284" w:rsidRPr="007466EF" w:rsidRDefault="001B4284" w:rsidP="001B4284">
      <w:pPr>
        <w:jc w:val="center"/>
        <w:rPr>
          <w:bCs/>
          <w:sz w:val="28"/>
          <w:szCs w:val="28"/>
        </w:rPr>
      </w:pPr>
      <w:r w:rsidRPr="007466EF">
        <w:rPr>
          <w:bCs/>
          <w:sz w:val="28"/>
          <w:szCs w:val="28"/>
        </w:rPr>
        <w:t xml:space="preserve">Šifra 2615 Obveze za zajmove od inozemnih vlada u EU </w:t>
      </w:r>
    </w:p>
    <w:p w14:paraId="449A6C9A" w14:textId="77777777" w:rsidR="001B4284" w:rsidRPr="007466EF" w:rsidRDefault="001B4284" w:rsidP="001B4284">
      <w:pPr>
        <w:keepNext/>
        <w:jc w:val="both"/>
        <w:rPr>
          <w:bCs/>
        </w:rPr>
      </w:pPr>
      <w:r w:rsidRPr="007466EF">
        <w:rPr>
          <w:bCs/>
        </w:rPr>
        <w:t>Obveze za zajmove od inozemnih vlada u EU sa stanjem na dan 31. prosinca 2024. iskazane su u iznosu od 35.071.600,40 eura na dan 31. prosinca 2024. Analitički prikaz stanja obveza dan je u Tablici 14.</w:t>
      </w:r>
    </w:p>
    <w:p w14:paraId="73453146" w14:textId="77777777" w:rsidR="001B4284" w:rsidRPr="007466EF" w:rsidRDefault="001B4284" w:rsidP="001B4284">
      <w:pPr>
        <w:jc w:val="both"/>
        <w:rPr>
          <w:rFonts w:cstheme="minorHAnsi"/>
          <w:bCs/>
        </w:rPr>
      </w:pPr>
    </w:p>
    <w:p w14:paraId="408048C2" w14:textId="77777777" w:rsidR="001B4284" w:rsidRPr="007466EF" w:rsidRDefault="001B4284" w:rsidP="001B4284">
      <w:pPr>
        <w:keepNext/>
        <w:jc w:val="both"/>
        <w:rPr>
          <w:b/>
          <w:sz w:val="20"/>
          <w:szCs w:val="20"/>
        </w:rPr>
      </w:pPr>
      <w:r w:rsidRPr="007466EF">
        <w:rPr>
          <w:b/>
          <w:sz w:val="20"/>
          <w:szCs w:val="20"/>
        </w:rPr>
        <w:t>Tablica 14. Pregled obveza za zajmove od inozemnih vlada u EU</w:t>
      </w:r>
    </w:p>
    <w:tbl>
      <w:tblPr>
        <w:tblW w:w="6746" w:type="dxa"/>
        <w:jc w:val="center"/>
        <w:tblLook w:val="04A0" w:firstRow="1" w:lastRow="0" w:firstColumn="1" w:lastColumn="0" w:noHBand="0" w:noVBand="1"/>
      </w:tblPr>
      <w:tblGrid>
        <w:gridCol w:w="910"/>
        <w:gridCol w:w="3196"/>
        <w:gridCol w:w="860"/>
        <w:gridCol w:w="1780"/>
      </w:tblGrid>
      <w:tr w:rsidR="001B4284" w:rsidRPr="007466EF" w14:paraId="22512B0F" w14:textId="77777777" w:rsidTr="000F0D22">
        <w:trPr>
          <w:trHeight w:val="799"/>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41DE9" w14:textId="77777777" w:rsidR="001B4284" w:rsidRPr="007466EF" w:rsidRDefault="001B4284" w:rsidP="001B4284">
            <w:pPr>
              <w:jc w:val="center"/>
              <w:rPr>
                <w:b/>
                <w:bCs/>
                <w:sz w:val="16"/>
                <w:szCs w:val="16"/>
              </w:rPr>
            </w:pPr>
            <w:r w:rsidRPr="007466EF">
              <w:rPr>
                <w:b/>
                <w:bCs/>
                <w:sz w:val="16"/>
                <w:szCs w:val="16"/>
              </w:rPr>
              <w:t>Red. broj</w:t>
            </w:r>
          </w:p>
        </w:tc>
        <w:tc>
          <w:tcPr>
            <w:tcW w:w="3196" w:type="dxa"/>
            <w:tcBorders>
              <w:top w:val="single" w:sz="4" w:space="0" w:color="auto"/>
              <w:left w:val="nil"/>
              <w:bottom w:val="single" w:sz="4" w:space="0" w:color="auto"/>
              <w:right w:val="single" w:sz="4" w:space="0" w:color="auto"/>
            </w:tcBorders>
            <w:shd w:val="clear" w:color="auto" w:fill="auto"/>
            <w:noWrap/>
            <w:vAlign w:val="center"/>
            <w:hideMark/>
          </w:tcPr>
          <w:p w14:paraId="45AC288B" w14:textId="77777777" w:rsidR="001B4284" w:rsidRPr="007466EF" w:rsidRDefault="001B4284" w:rsidP="001B4284">
            <w:pPr>
              <w:jc w:val="center"/>
              <w:rPr>
                <w:b/>
                <w:bCs/>
                <w:sz w:val="20"/>
                <w:szCs w:val="16"/>
              </w:rPr>
            </w:pPr>
            <w:r w:rsidRPr="007466EF">
              <w:rPr>
                <w:b/>
                <w:bCs/>
                <w:sz w:val="20"/>
                <w:szCs w:val="16"/>
              </w:rPr>
              <w:t>Namjena</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89C3F79" w14:textId="77777777" w:rsidR="001B4284" w:rsidRPr="007466EF" w:rsidRDefault="001B4284" w:rsidP="001B4284">
            <w:pPr>
              <w:jc w:val="center"/>
              <w:rPr>
                <w:b/>
                <w:bCs/>
                <w:sz w:val="16"/>
                <w:szCs w:val="16"/>
              </w:rPr>
            </w:pPr>
            <w:r w:rsidRPr="007466EF">
              <w:rPr>
                <w:b/>
                <w:bCs/>
                <w:sz w:val="16"/>
                <w:szCs w:val="16"/>
              </w:rPr>
              <w:t>Valuta</w:t>
            </w:r>
          </w:p>
        </w:tc>
        <w:tc>
          <w:tcPr>
            <w:tcW w:w="1780" w:type="dxa"/>
            <w:tcBorders>
              <w:top w:val="single" w:sz="4" w:space="0" w:color="auto"/>
              <w:left w:val="nil"/>
              <w:bottom w:val="nil"/>
              <w:right w:val="single" w:sz="4" w:space="0" w:color="auto"/>
            </w:tcBorders>
            <w:shd w:val="clear" w:color="auto" w:fill="auto"/>
            <w:vAlign w:val="center"/>
            <w:hideMark/>
          </w:tcPr>
          <w:p w14:paraId="1D3C0324" w14:textId="77777777" w:rsidR="001B4284" w:rsidRPr="007466EF" w:rsidRDefault="001B4284" w:rsidP="001B4284">
            <w:pPr>
              <w:jc w:val="center"/>
              <w:rPr>
                <w:b/>
                <w:bCs/>
                <w:sz w:val="20"/>
                <w:szCs w:val="16"/>
              </w:rPr>
            </w:pPr>
            <w:r w:rsidRPr="007466EF">
              <w:rPr>
                <w:b/>
                <w:bCs/>
                <w:sz w:val="20"/>
                <w:szCs w:val="16"/>
              </w:rPr>
              <w:t xml:space="preserve">Stanje obveza na 31.12.2024. </w:t>
            </w:r>
          </w:p>
        </w:tc>
      </w:tr>
      <w:tr w:rsidR="001B4284" w:rsidRPr="007466EF" w14:paraId="29FD9515" w14:textId="77777777" w:rsidTr="000F0D22">
        <w:trPr>
          <w:trHeight w:val="27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1EEDB405" w14:textId="77777777" w:rsidR="001B4284" w:rsidRPr="007466EF" w:rsidRDefault="001B4284" w:rsidP="001B4284">
            <w:pPr>
              <w:jc w:val="center"/>
              <w:rPr>
                <w:sz w:val="16"/>
                <w:szCs w:val="16"/>
              </w:rPr>
            </w:pPr>
            <w:r w:rsidRPr="007466EF">
              <w:rPr>
                <w:sz w:val="16"/>
                <w:szCs w:val="16"/>
              </w:rPr>
              <w:t>1.</w:t>
            </w:r>
          </w:p>
        </w:tc>
        <w:tc>
          <w:tcPr>
            <w:tcW w:w="3196" w:type="dxa"/>
            <w:tcBorders>
              <w:top w:val="nil"/>
              <w:left w:val="nil"/>
              <w:bottom w:val="single" w:sz="4" w:space="0" w:color="auto"/>
              <w:right w:val="single" w:sz="4" w:space="0" w:color="auto"/>
            </w:tcBorders>
            <w:shd w:val="clear" w:color="auto" w:fill="auto"/>
            <w:noWrap/>
            <w:vAlign w:val="center"/>
            <w:hideMark/>
          </w:tcPr>
          <w:p w14:paraId="201FE7EE" w14:textId="77777777" w:rsidR="001B4284" w:rsidRPr="007466EF" w:rsidRDefault="001B4284" w:rsidP="001B4284">
            <w:pPr>
              <w:rPr>
                <w:sz w:val="20"/>
                <w:szCs w:val="16"/>
              </w:rPr>
            </w:pPr>
            <w:r w:rsidRPr="007466EF">
              <w:rPr>
                <w:sz w:val="20"/>
                <w:szCs w:val="16"/>
              </w:rPr>
              <w:t xml:space="preserve">Kraljevina Belgija </w:t>
            </w:r>
            <w:proofErr w:type="spellStart"/>
            <w:r w:rsidRPr="007466EF">
              <w:rPr>
                <w:sz w:val="20"/>
                <w:szCs w:val="16"/>
              </w:rPr>
              <w:t>Loan</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03114D36" w14:textId="77777777" w:rsidR="001B4284" w:rsidRPr="007466EF" w:rsidRDefault="001B4284" w:rsidP="001B4284">
            <w:pPr>
              <w:jc w:val="center"/>
              <w:rPr>
                <w:sz w:val="16"/>
                <w:szCs w:val="16"/>
              </w:rPr>
            </w:pPr>
            <w:r w:rsidRPr="007466EF">
              <w:rPr>
                <w:sz w:val="16"/>
                <w:szCs w:val="16"/>
              </w:rPr>
              <w:t>EUR</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49CBC97D" w14:textId="77777777" w:rsidR="001B4284" w:rsidRPr="007466EF" w:rsidRDefault="001B4284" w:rsidP="001B4284">
            <w:pPr>
              <w:jc w:val="right"/>
              <w:rPr>
                <w:sz w:val="20"/>
                <w:szCs w:val="16"/>
              </w:rPr>
            </w:pPr>
            <w:r w:rsidRPr="007466EF">
              <w:rPr>
                <w:sz w:val="20"/>
                <w:szCs w:val="16"/>
              </w:rPr>
              <w:t>111.506,73</w:t>
            </w:r>
          </w:p>
        </w:tc>
      </w:tr>
      <w:tr w:rsidR="001B4284" w:rsidRPr="007466EF" w14:paraId="0364E72A" w14:textId="77777777" w:rsidTr="000F0D22">
        <w:trPr>
          <w:trHeight w:val="27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004D1ADA" w14:textId="77777777" w:rsidR="001B4284" w:rsidRPr="007466EF" w:rsidRDefault="001B4284" w:rsidP="001B4284">
            <w:pPr>
              <w:jc w:val="center"/>
              <w:rPr>
                <w:sz w:val="16"/>
                <w:szCs w:val="16"/>
              </w:rPr>
            </w:pPr>
            <w:r w:rsidRPr="007466EF">
              <w:rPr>
                <w:sz w:val="16"/>
                <w:szCs w:val="16"/>
              </w:rPr>
              <w:t>2.</w:t>
            </w:r>
          </w:p>
        </w:tc>
        <w:tc>
          <w:tcPr>
            <w:tcW w:w="3196" w:type="dxa"/>
            <w:tcBorders>
              <w:top w:val="nil"/>
              <w:left w:val="nil"/>
              <w:bottom w:val="single" w:sz="4" w:space="0" w:color="auto"/>
              <w:right w:val="single" w:sz="4" w:space="0" w:color="auto"/>
            </w:tcBorders>
            <w:shd w:val="clear" w:color="auto" w:fill="auto"/>
            <w:noWrap/>
            <w:vAlign w:val="center"/>
            <w:hideMark/>
          </w:tcPr>
          <w:p w14:paraId="290BD6F7" w14:textId="77777777" w:rsidR="001B4284" w:rsidRPr="007466EF" w:rsidRDefault="001B4284" w:rsidP="001B4284">
            <w:pPr>
              <w:rPr>
                <w:sz w:val="20"/>
                <w:szCs w:val="16"/>
              </w:rPr>
            </w:pPr>
            <w:r w:rsidRPr="007466EF">
              <w:rPr>
                <w:sz w:val="20"/>
                <w:szCs w:val="16"/>
              </w:rPr>
              <w:t>Paris Club - 2055</w:t>
            </w:r>
          </w:p>
        </w:tc>
        <w:tc>
          <w:tcPr>
            <w:tcW w:w="860" w:type="dxa"/>
            <w:tcBorders>
              <w:top w:val="nil"/>
              <w:left w:val="nil"/>
              <w:bottom w:val="single" w:sz="4" w:space="0" w:color="auto"/>
              <w:right w:val="single" w:sz="4" w:space="0" w:color="auto"/>
            </w:tcBorders>
            <w:shd w:val="clear" w:color="auto" w:fill="auto"/>
            <w:noWrap/>
            <w:vAlign w:val="center"/>
            <w:hideMark/>
          </w:tcPr>
          <w:p w14:paraId="46429D4B" w14:textId="77777777" w:rsidR="001B4284" w:rsidRPr="007466EF" w:rsidRDefault="001B4284" w:rsidP="001B4284">
            <w:pPr>
              <w:jc w:val="center"/>
              <w:rPr>
                <w:sz w:val="16"/>
                <w:szCs w:val="16"/>
              </w:rPr>
            </w:pPr>
            <w:r w:rsidRPr="007466EF">
              <w:rPr>
                <w:sz w:val="16"/>
                <w:szCs w:val="16"/>
              </w:rPr>
              <w:t>EUR</w:t>
            </w:r>
          </w:p>
        </w:tc>
        <w:tc>
          <w:tcPr>
            <w:tcW w:w="1780" w:type="dxa"/>
            <w:tcBorders>
              <w:top w:val="nil"/>
              <w:left w:val="nil"/>
              <w:bottom w:val="single" w:sz="4" w:space="0" w:color="auto"/>
              <w:right w:val="single" w:sz="4" w:space="0" w:color="auto"/>
            </w:tcBorders>
            <w:shd w:val="clear" w:color="auto" w:fill="auto"/>
            <w:noWrap/>
            <w:vAlign w:val="center"/>
            <w:hideMark/>
          </w:tcPr>
          <w:p w14:paraId="04992D20" w14:textId="77777777" w:rsidR="001B4284" w:rsidRPr="007466EF" w:rsidRDefault="001B4284" w:rsidP="001B4284">
            <w:pPr>
              <w:jc w:val="right"/>
              <w:rPr>
                <w:sz w:val="20"/>
                <w:szCs w:val="16"/>
              </w:rPr>
            </w:pPr>
            <w:r w:rsidRPr="007466EF">
              <w:rPr>
                <w:sz w:val="20"/>
                <w:szCs w:val="16"/>
              </w:rPr>
              <w:t>34.960.093,67</w:t>
            </w:r>
          </w:p>
        </w:tc>
      </w:tr>
      <w:tr w:rsidR="001B4284" w:rsidRPr="007466EF" w14:paraId="6461A545" w14:textId="77777777" w:rsidTr="000F0D22">
        <w:trPr>
          <w:trHeight w:val="270"/>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4F51F" w14:textId="77777777" w:rsidR="001B4284" w:rsidRPr="007466EF" w:rsidRDefault="001B4284" w:rsidP="001B4284">
            <w:pPr>
              <w:jc w:val="center"/>
              <w:rPr>
                <w:b/>
                <w:bCs/>
                <w:sz w:val="16"/>
                <w:szCs w:val="16"/>
              </w:rPr>
            </w:pPr>
          </w:p>
        </w:tc>
        <w:tc>
          <w:tcPr>
            <w:tcW w:w="3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C8F50" w14:textId="77777777" w:rsidR="001B4284" w:rsidRPr="007466EF" w:rsidRDefault="001B4284" w:rsidP="001B4284">
            <w:pPr>
              <w:rPr>
                <w:sz w:val="16"/>
                <w:szCs w:val="16"/>
              </w:rPr>
            </w:pPr>
            <w:r w:rsidRPr="007466EF">
              <w:rPr>
                <w:sz w:val="16"/>
                <w:szCs w:val="16"/>
              </w:rPr>
              <w:t> </w:t>
            </w:r>
            <w:r w:rsidRPr="007466EF">
              <w:rPr>
                <w:b/>
                <w:bCs/>
                <w:sz w:val="16"/>
                <w:szCs w:val="16"/>
              </w:rPr>
              <w:t>UKUPNO</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2BCDE" w14:textId="77777777" w:rsidR="001B4284" w:rsidRPr="007466EF" w:rsidRDefault="001B4284" w:rsidP="001B4284">
            <w:pPr>
              <w:jc w:val="center"/>
              <w:rPr>
                <w:b/>
                <w:bCs/>
                <w:sz w:val="16"/>
                <w:szCs w:val="16"/>
              </w:rPr>
            </w:pPr>
            <w:r w:rsidRPr="007466EF">
              <w:rPr>
                <w:b/>
                <w:bCs/>
                <w:sz w:val="16"/>
                <w:szCs w:val="16"/>
              </w:rPr>
              <w:t>EUR</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44B18" w14:textId="4AE2D54E" w:rsidR="001B4284" w:rsidRPr="007466EF" w:rsidRDefault="00FF6B36" w:rsidP="001B4284">
            <w:pPr>
              <w:jc w:val="right"/>
              <w:rPr>
                <w:b/>
                <w:bCs/>
                <w:sz w:val="20"/>
                <w:szCs w:val="16"/>
              </w:rPr>
            </w:pPr>
            <w:r>
              <w:rPr>
                <w:b/>
                <w:bCs/>
                <w:sz w:val="20"/>
                <w:szCs w:val="16"/>
              </w:rPr>
              <w:t>35.071.600,40</w:t>
            </w:r>
          </w:p>
        </w:tc>
      </w:tr>
    </w:tbl>
    <w:p w14:paraId="110E21D5" w14:textId="77777777" w:rsidR="001B4284" w:rsidRPr="007466EF" w:rsidRDefault="001B4284" w:rsidP="001B4284">
      <w:pPr>
        <w:jc w:val="both"/>
        <w:rPr>
          <w:rFonts w:cstheme="minorHAnsi"/>
          <w:bCs/>
        </w:rPr>
      </w:pPr>
    </w:p>
    <w:p w14:paraId="6634B315" w14:textId="77777777" w:rsidR="001B4284" w:rsidRPr="007466EF" w:rsidRDefault="001B4284" w:rsidP="001B4284">
      <w:pPr>
        <w:jc w:val="both"/>
        <w:rPr>
          <w:rFonts w:cstheme="minorHAnsi"/>
          <w:bCs/>
        </w:rPr>
      </w:pPr>
      <w:r w:rsidRPr="007466EF">
        <w:rPr>
          <w:rFonts w:cstheme="minorHAnsi"/>
          <w:bCs/>
        </w:rPr>
        <w:t>Obveza za zajam u iznosu od</w:t>
      </w:r>
      <w:r w:rsidRPr="007466EF">
        <w:rPr>
          <w:rFonts w:cstheme="minorHAnsi"/>
        </w:rPr>
        <w:t xml:space="preserve"> </w:t>
      </w:r>
      <w:r w:rsidRPr="007466EF">
        <w:rPr>
          <w:rFonts w:cstheme="minorHAnsi"/>
          <w:bCs/>
        </w:rPr>
        <w:t>34.960.093,67 eura odnosi se na zajam koji je 1956. odobren Narodnoj banci Jugoslavije, a čiji je dio temeljem sporazuma o preuzimanju duga po Pariškom klubu prema vjerovniku Saveznoj Republici Njemačkoj preuzela Republika Hrvatska u iznosu od originalno 68.376.000 DEM beskamatno s dospijećem 10. ožujka 2055.</w:t>
      </w:r>
    </w:p>
    <w:p w14:paraId="0EC70A25" w14:textId="77777777" w:rsidR="001B4284" w:rsidRPr="00FB0E6E" w:rsidRDefault="001B4284" w:rsidP="00FB0E6E">
      <w:pPr>
        <w:jc w:val="both"/>
      </w:pPr>
    </w:p>
    <w:p w14:paraId="04DCD4EF" w14:textId="77777777" w:rsidR="001B4284" w:rsidRPr="007466EF" w:rsidRDefault="001B4284" w:rsidP="001B4284">
      <w:pPr>
        <w:keepNext/>
        <w:jc w:val="center"/>
        <w:rPr>
          <w:bCs/>
          <w:sz w:val="28"/>
          <w:szCs w:val="28"/>
        </w:rPr>
      </w:pPr>
      <w:r w:rsidRPr="007466EF">
        <w:rPr>
          <w:bCs/>
          <w:sz w:val="28"/>
          <w:szCs w:val="28"/>
        </w:rPr>
        <w:t>Bilješka 28.</w:t>
      </w:r>
    </w:p>
    <w:p w14:paraId="26E17DBD" w14:textId="77777777" w:rsidR="001B4284" w:rsidRPr="007466EF" w:rsidRDefault="001B4284" w:rsidP="001B4284">
      <w:pPr>
        <w:keepNext/>
        <w:jc w:val="center"/>
        <w:rPr>
          <w:bCs/>
          <w:sz w:val="28"/>
          <w:szCs w:val="28"/>
        </w:rPr>
      </w:pPr>
      <w:r w:rsidRPr="007466EF">
        <w:rPr>
          <w:bCs/>
          <w:sz w:val="28"/>
          <w:szCs w:val="28"/>
        </w:rPr>
        <w:t>Šifra 29 Odgođeno plaćanje rashoda i prihodi budućih razdoblja</w:t>
      </w:r>
    </w:p>
    <w:p w14:paraId="33A175E1" w14:textId="77777777" w:rsidR="001B4284" w:rsidRPr="007466EF" w:rsidRDefault="001B4284" w:rsidP="001B4284">
      <w:pPr>
        <w:keepNext/>
        <w:jc w:val="both"/>
        <w:rPr>
          <w:bCs/>
        </w:rPr>
      </w:pPr>
      <w:r w:rsidRPr="007466EF">
        <w:rPr>
          <w:bCs/>
        </w:rPr>
        <w:t xml:space="preserve">Na šifri 29 </w:t>
      </w:r>
      <w:r w:rsidRPr="007466EF">
        <w:rPr>
          <w:bCs/>
          <w:i/>
        </w:rPr>
        <w:t>Odgođeno plaćanje rashoda i prihodi budućih razdoblja</w:t>
      </w:r>
      <w:r w:rsidRPr="007466EF">
        <w:rPr>
          <w:bCs/>
        </w:rPr>
        <w:t xml:space="preserve"> na dan 31. prosinca 2024. iskazan je iznos od 2.068.189.903,44 eura koji se odnosi na:</w:t>
      </w:r>
    </w:p>
    <w:p w14:paraId="543417BF" w14:textId="77777777" w:rsidR="001B4284" w:rsidRPr="007466EF" w:rsidRDefault="001B4284" w:rsidP="001B4284">
      <w:pPr>
        <w:keepNext/>
        <w:numPr>
          <w:ilvl w:val="0"/>
          <w:numId w:val="30"/>
        </w:numPr>
        <w:contextualSpacing/>
        <w:jc w:val="both"/>
        <w:rPr>
          <w:bCs/>
        </w:rPr>
      </w:pPr>
      <w:r w:rsidRPr="007466EF">
        <w:rPr>
          <w:bCs/>
        </w:rPr>
        <w:t xml:space="preserve">unaprijed naplaćene prihoda iz Nacionalnog plana za oporavak i otpornost u iznosu od 2.016.853.936,57 eura, </w:t>
      </w:r>
    </w:p>
    <w:p w14:paraId="6D7FE083" w14:textId="77777777" w:rsidR="001B4284" w:rsidRPr="007466EF" w:rsidRDefault="001B4284" w:rsidP="001B4284">
      <w:pPr>
        <w:keepNext/>
        <w:numPr>
          <w:ilvl w:val="0"/>
          <w:numId w:val="30"/>
        </w:numPr>
        <w:contextualSpacing/>
        <w:jc w:val="both"/>
        <w:rPr>
          <w:bCs/>
        </w:rPr>
      </w:pPr>
      <w:r w:rsidRPr="007466EF">
        <w:rPr>
          <w:bCs/>
        </w:rPr>
        <w:t>odgođeno priznavanje prihoda za premiju na obveznice u iznosu od 42.611.449,69 eura,</w:t>
      </w:r>
    </w:p>
    <w:p w14:paraId="5DD4F188" w14:textId="77777777" w:rsidR="001B4284" w:rsidRPr="007466EF" w:rsidRDefault="001B4284" w:rsidP="001B4284">
      <w:pPr>
        <w:keepNext/>
        <w:numPr>
          <w:ilvl w:val="0"/>
          <w:numId w:val="30"/>
        </w:numPr>
        <w:contextualSpacing/>
        <w:jc w:val="both"/>
        <w:rPr>
          <w:bCs/>
        </w:rPr>
      </w:pPr>
      <w:r w:rsidRPr="007466EF">
        <w:rPr>
          <w:bCs/>
        </w:rPr>
        <w:t xml:space="preserve">odgođeno priznavanje prihoda za premiju za </w:t>
      </w:r>
      <w:r w:rsidRPr="007466EF">
        <w:t>instrument SURE Europske unije u i</w:t>
      </w:r>
      <w:r w:rsidRPr="007466EF">
        <w:rPr>
          <w:bCs/>
        </w:rPr>
        <w:t>znosu od 8.724.400,00 eura.</w:t>
      </w:r>
    </w:p>
    <w:p w14:paraId="4D42D6A2" w14:textId="77777777" w:rsidR="001B4284" w:rsidRPr="007466EF" w:rsidRDefault="001B4284" w:rsidP="001B4284">
      <w:pPr>
        <w:keepNext/>
        <w:jc w:val="both"/>
        <w:rPr>
          <w:bCs/>
        </w:rPr>
      </w:pPr>
    </w:p>
    <w:p w14:paraId="1830D1BB" w14:textId="66B7BA53" w:rsidR="001B4284" w:rsidRPr="007466EF" w:rsidRDefault="001B4284" w:rsidP="001B4284">
      <w:pPr>
        <w:widowControl w:val="0"/>
        <w:jc w:val="both"/>
        <w:rPr>
          <w:bCs/>
        </w:rPr>
      </w:pPr>
      <w:r w:rsidRPr="007466EF">
        <w:rPr>
          <w:bCs/>
        </w:rPr>
        <w:t xml:space="preserve">Unaprijed naplaćeni prihodi iz Nacionalnog plana za oporavak i otpornost u iznosu od </w:t>
      </w:r>
      <w:r w:rsidR="00FF6B36" w:rsidRPr="00FF6B36">
        <w:rPr>
          <w:bCs/>
        </w:rPr>
        <w:t xml:space="preserve">2.016.853.936,57 </w:t>
      </w:r>
      <w:r w:rsidRPr="007466EF">
        <w:rPr>
          <w:bCs/>
        </w:rPr>
        <w:t xml:space="preserve">eura odnose se na sredstva koja su Republici Hrvatskoj uplaćena iz sredstava Mehanizma za oporavak i otpornost. Europska komisija isplaćuje predmetna sredstava u obliku predujma i tranši bespovratne pomoći. Tranše bespovratne pomoći Europska komisija isplaćuje na temelju zahtjeva za plaćanje kojima prethodi ispunjenje unaprijed utvrđenih pokazatelja u pogledu uspješnosti i provedbi ulaganja i reformi u područjima javne uprave, pravosuđa, socijalne politike, zapošljavanja, obrazovanja, vještina, energije i energetske učinkovitosti, upravljanja vodama i povezanosti. Doznačena sredstava iz pojedine tranše koriste se za </w:t>
      </w:r>
      <w:r w:rsidRPr="007466EF">
        <w:rPr>
          <w:bCs/>
        </w:rPr>
        <w:lastRenderedPageBreak/>
        <w:t>financiranje ulaganja čiji su troškovi nastali ili će nastati tijekom provedbe odnosno do kraja 2026.</w:t>
      </w:r>
    </w:p>
    <w:p w14:paraId="23EAB459" w14:textId="77777777" w:rsidR="001B4284" w:rsidRPr="007466EF" w:rsidRDefault="001B4284" w:rsidP="001B4284">
      <w:pPr>
        <w:widowControl w:val="0"/>
        <w:jc w:val="both"/>
        <w:rPr>
          <w:bCs/>
        </w:rPr>
      </w:pPr>
      <w:r w:rsidRPr="007466EF">
        <w:rPr>
          <w:bCs/>
        </w:rPr>
        <w:t>U financijskom izvještaju državnog proračuna doznačena sredstva putem tranši evidentiraju se kao unaprijed naplaćeni prihodi.</w:t>
      </w:r>
    </w:p>
    <w:p w14:paraId="7E1583C2" w14:textId="77777777" w:rsidR="001B4284" w:rsidRPr="00FB0E6E" w:rsidRDefault="001B4284" w:rsidP="00FB0E6E">
      <w:pPr>
        <w:jc w:val="both"/>
      </w:pPr>
    </w:p>
    <w:p w14:paraId="1A6CA9FB" w14:textId="77777777" w:rsidR="001B4284" w:rsidRPr="007466EF" w:rsidRDefault="001B4284" w:rsidP="001B4284">
      <w:pPr>
        <w:widowControl w:val="0"/>
        <w:jc w:val="center"/>
        <w:rPr>
          <w:bCs/>
          <w:sz w:val="28"/>
          <w:szCs w:val="28"/>
        </w:rPr>
      </w:pPr>
      <w:r w:rsidRPr="007466EF">
        <w:rPr>
          <w:bCs/>
          <w:sz w:val="28"/>
          <w:szCs w:val="28"/>
        </w:rPr>
        <w:t>Bilješka 29.</w:t>
      </w:r>
    </w:p>
    <w:p w14:paraId="55C1C970" w14:textId="77777777" w:rsidR="001B4284" w:rsidRPr="007466EF" w:rsidRDefault="001B4284" w:rsidP="001B4284">
      <w:pPr>
        <w:widowControl w:val="0"/>
        <w:jc w:val="center"/>
        <w:rPr>
          <w:bCs/>
          <w:sz w:val="28"/>
          <w:szCs w:val="28"/>
        </w:rPr>
      </w:pPr>
      <w:r w:rsidRPr="007466EF">
        <w:rPr>
          <w:bCs/>
          <w:sz w:val="28"/>
          <w:szCs w:val="28"/>
        </w:rPr>
        <w:t xml:space="preserve">Šifra 991 i 996 </w:t>
      </w:r>
      <w:proofErr w:type="spellStart"/>
      <w:r w:rsidRPr="007466EF">
        <w:rPr>
          <w:bCs/>
          <w:sz w:val="28"/>
          <w:szCs w:val="28"/>
        </w:rPr>
        <w:t>Izvanbilančni</w:t>
      </w:r>
      <w:proofErr w:type="spellEnd"/>
      <w:r w:rsidRPr="007466EF">
        <w:rPr>
          <w:bCs/>
          <w:sz w:val="28"/>
          <w:szCs w:val="28"/>
        </w:rPr>
        <w:t xml:space="preserve"> zapisi </w:t>
      </w:r>
    </w:p>
    <w:p w14:paraId="0659C3EE" w14:textId="6C6B4839" w:rsidR="001B4284" w:rsidRPr="007466EF" w:rsidRDefault="001B4284" w:rsidP="001B4284">
      <w:pPr>
        <w:widowControl w:val="0"/>
        <w:jc w:val="both"/>
        <w:rPr>
          <w:bCs/>
        </w:rPr>
      </w:pPr>
      <w:r w:rsidRPr="007466EF">
        <w:rPr>
          <w:bCs/>
        </w:rPr>
        <w:t xml:space="preserve">Na dan 31. prosinca 2024. u okviru </w:t>
      </w:r>
      <w:proofErr w:type="spellStart"/>
      <w:r w:rsidRPr="007466EF">
        <w:rPr>
          <w:bCs/>
        </w:rPr>
        <w:t>izvanbilančne</w:t>
      </w:r>
      <w:proofErr w:type="spellEnd"/>
      <w:r w:rsidRPr="007466EF">
        <w:rPr>
          <w:bCs/>
        </w:rPr>
        <w:t xml:space="preserve"> evidencije iskazan je iznos od </w:t>
      </w:r>
      <w:r w:rsidR="00354D2D" w:rsidRPr="00354D2D">
        <w:rPr>
          <w:bCs/>
        </w:rPr>
        <w:t>17.936.964.359,27</w:t>
      </w:r>
      <w:r w:rsidRPr="007466EF">
        <w:rPr>
          <w:bCs/>
        </w:rPr>
        <w:t xml:space="preserve"> eura, a odnosi se na </w:t>
      </w:r>
      <w:proofErr w:type="spellStart"/>
      <w:r w:rsidRPr="007466EF">
        <w:rPr>
          <w:bCs/>
        </w:rPr>
        <w:t>izvanbilančnu</w:t>
      </w:r>
      <w:proofErr w:type="spellEnd"/>
      <w:r w:rsidRPr="007466EF">
        <w:rPr>
          <w:bCs/>
        </w:rPr>
        <w:t xml:space="preserve"> evidenciju: </w:t>
      </w:r>
    </w:p>
    <w:p w14:paraId="3CBE26B3" w14:textId="77777777" w:rsidR="001B4284" w:rsidRPr="007466EF" w:rsidRDefault="001B4284" w:rsidP="001B4284">
      <w:pPr>
        <w:widowControl w:val="0"/>
        <w:numPr>
          <w:ilvl w:val="0"/>
          <w:numId w:val="31"/>
        </w:numPr>
        <w:tabs>
          <w:tab w:val="decimal" w:pos="8820"/>
        </w:tabs>
        <w:jc w:val="both"/>
        <w:rPr>
          <w:bCs/>
        </w:rPr>
      </w:pPr>
      <w:r w:rsidRPr="007466EF">
        <w:rPr>
          <w:bCs/>
        </w:rPr>
        <w:t xml:space="preserve">jamstava </w:t>
      </w:r>
      <w:r w:rsidRPr="007466EF">
        <w:rPr>
          <w:bCs/>
        </w:rPr>
        <w:tab/>
        <w:t>3.765.158.491,10</w:t>
      </w:r>
    </w:p>
    <w:p w14:paraId="65DF856E" w14:textId="07ABC253" w:rsidR="001B4284" w:rsidRPr="007466EF" w:rsidRDefault="001B4284" w:rsidP="00354D2D">
      <w:pPr>
        <w:widowControl w:val="0"/>
        <w:numPr>
          <w:ilvl w:val="0"/>
          <w:numId w:val="31"/>
        </w:numPr>
        <w:tabs>
          <w:tab w:val="decimal" w:pos="8820"/>
        </w:tabs>
        <w:jc w:val="both"/>
        <w:rPr>
          <w:bCs/>
        </w:rPr>
      </w:pPr>
      <w:r w:rsidRPr="007466EF">
        <w:rPr>
          <w:bCs/>
        </w:rPr>
        <w:t xml:space="preserve">međunarodnih zajmova danih uz državno jamstvo </w:t>
      </w:r>
      <w:r w:rsidRPr="007466EF">
        <w:rPr>
          <w:bCs/>
        </w:rPr>
        <w:tab/>
      </w:r>
      <w:r w:rsidR="00354D2D" w:rsidRPr="00354D2D">
        <w:rPr>
          <w:bCs/>
        </w:rPr>
        <w:t>2</w:t>
      </w:r>
      <w:r w:rsidR="00354D2D">
        <w:rPr>
          <w:bCs/>
        </w:rPr>
        <w:t>.</w:t>
      </w:r>
      <w:r w:rsidR="00354D2D" w:rsidRPr="00354D2D">
        <w:rPr>
          <w:bCs/>
        </w:rPr>
        <w:t>616</w:t>
      </w:r>
      <w:r w:rsidR="00354D2D">
        <w:rPr>
          <w:bCs/>
        </w:rPr>
        <w:t>.</w:t>
      </w:r>
      <w:r w:rsidR="00354D2D" w:rsidRPr="00354D2D">
        <w:rPr>
          <w:bCs/>
        </w:rPr>
        <w:t>772</w:t>
      </w:r>
      <w:r w:rsidR="00354D2D">
        <w:rPr>
          <w:bCs/>
        </w:rPr>
        <w:t>.</w:t>
      </w:r>
      <w:r w:rsidR="00354D2D" w:rsidRPr="00354D2D">
        <w:rPr>
          <w:bCs/>
        </w:rPr>
        <w:t>843,59</w:t>
      </w:r>
    </w:p>
    <w:p w14:paraId="4B0EB616" w14:textId="77777777" w:rsidR="001B4284" w:rsidRPr="007466EF" w:rsidRDefault="001B4284" w:rsidP="001B4284">
      <w:pPr>
        <w:widowControl w:val="0"/>
        <w:numPr>
          <w:ilvl w:val="0"/>
          <w:numId w:val="31"/>
        </w:numPr>
        <w:tabs>
          <w:tab w:val="decimal" w:pos="8820"/>
        </w:tabs>
        <w:jc w:val="both"/>
        <w:rPr>
          <w:bCs/>
        </w:rPr>
      </w:pPr>
      <w:r w:rsidRPr="007466EF">
        <w:rPr>
          <w:bCs/>
        </w:rPr>
        <w:t>primljenih instrumenata osiguranja plaćanja</w:t>
      </w:r>
      <w:r w:rsidRPr="007466EF">
        <w:rPr>
          <w:bCs/>
        </w:rPr>
        <w:tab/>
        <w:t>6.517.539.019,96</w:t>
      </w:r>
    </w:p>
    <w:p w14:paraId="0E6C3DC4" w14:textId="77777777" w:rsidR="001B4284" w:rsidRPr="007466EF" w:rsidRDefault="001B4284" w:rsidP="001B4284">
      <w:pPr>
        <w:widowControl w:val="0"/>
        <w:numPr>
          <w:ilvl w:val="0"/>
          <w:numId w:val="31"/>
        </w:numPr>
        <w:tabs>
          <w:tab w:val="decimal" w:pos="8820"/>
        </w:tabs>
        <w:jc w:val="both"/>
        <w:rPr>
          <w:bCs/>
        </w:rPr>
      </w:pPr>
      <w:r w:rsidRPr="007466EF">
        <w:rPr>
          <w:bCs/>
        </w:rPr>
        <w:t>potencijalne obveze po sudskim sporovima Ministarstva financija</w:t>
      </w:r>
    </w:p>
    <w:p w14:paraId="698A3E86" w14:textId="77777777" w:rsidR="001B4284" w:rsidRPr="007466EF" w:rsidRDefault="001B4284" w:rsidP="001B4284">
      <w:pPr>
        <w:widowControl w:val="0"/>
        <w:tabs>
          <w:tab w:val="decimal" w:pos="8820"/>
        </w:tabs>
        <w:ind w:left="720"/>
        <w:contextualSpacing/>
        <w:jc w:val="both"/>
        <w:rPr>
          <w:bCs/>
        </w:rPr>
      </w:pPr>
      <w:r w:rsidRPr="007466EF">
        <w:rPr>
          <w:bCs/>
        </w:rPr>
        <w:t>- bivšeg Fonda za naknadu oduzete imovine</w:t>
      </w:r>
      <w:r w:rsidRPr="007466EF">
        <w:rPr>
          <w:bCs/>
        </w:rPr>
        <w:tab/>
        <w:t>332.923,68</w:t>
      </w:r>
    </w:p>
    <w:p w14:paraId="778D8EF7" w14:textId="77777777" w:rsidR="001B4284" w:rsidRPr="007466EF" w:rsidRDefault="001B4284" w:rsidP="001B4284">
      <w:pPr>
        <w:widowControl w:val="0"/>
        <w:numPr>
          <w:ilvl w:val="0"/>
          <w:numId w:val="31"/>
        </w:numPr>
        <w:tabs>
          <w:tab w:val="decimal" w:pos="8820"/>
        </w:tabs>
        <w:contextualSpacing/>
        <w:jc w:val="both"/>
        <w:rPr>
          <w:bCs/>
        </w:rPr>
      </w:pPr>
      <w:r w:rsidRPr="007466EF">
        <w:rPr>
          <w:bCs/>
        </w:rPr>
        <w:t>financijskih instrumenata iz Nacionalnog plana oporavka i otpornosti     45.771.053,73</w:t>
      </w:r>
    </w:p>
    <w:p w14:paraId="0CB29657" w14:textId="77777777" w:rsidR="001B4284" w:rsidRPr="007466EF" w:rsidRDefault="001B4284" w:rsidP="001B4284">
      <w:pPr>
        <w:widowControl w:val="0"/>
        <w:numPr>
          <w:ilvl w:val="0"/>
          <w:numId w:val="31"/>
        </w:numPr>
        <w:tabs>
          <w:tab w:val="decimal" w:pos="8820"/>
        </w:tabs>
        <w:contextualSpacing/>
        <w:jc w:val="both"/>
        <w:rPr>
          <w:bCs/>
        </w:rPr>
      </w:pPr>
      <w:r w:rsidRPr="007466EF">
        <w:rPr>
          <w:bCs/>
        </w:rPr>
        <w:t>kapitala na poziv</w:t>
      </w:r>
      <w:r w:rsidRPr="007466EF">
        <w:rPr>
          <w:bCs/>
        </w:rPr>
        <w:tab/>
        <w:t>4.802.557.107,12</w:t>
      </w:r>
    </w:p>
    <w:p w14:paraId="3A3E3DC8" w14:textId="77777777" w:rsidR="001B4284" w:rsidRPr="007466EF" w:rsidRDefault="001B4284" w:rsidP="001B4284">
      <w:pPr>
        <w:widowControl w:val="0"/>
        <w:numPr>
          <w:ilvl w:val="0"/>
          <w:numId w:val="31"/>
        </w:numPr>
        <w:tabs>
          <w:tab w:val="decimal" w:pos="8820"/>
        </w:tabs>
        <w:contextualSpacing/>
        <w:jc w:val="both"/>
        <w:rPr>
          <w:bCs/>
        </w:rPr>
      </w:pPr>
      <w:r w:rsidRPr="007466EF">
        <w:rPr>
          <w:bCs/>
        </w:rPr>
        <w:t xml:space="preserve">dionica i udjela danih na upravljanje (HZZMO) i </w:t>
      </w:r>
      <w:r w:rsidRPr="007466EF">
        <w:rPr>
          <w:bCs/>
        </w:rPr>
        <w:tab/>
      </w:r>
    </w:p>
    <w:p w14:paraId="00D4E1A6" w14:textId="77777777" w:rsidR="001B4284" w:rsidRPr="007466EF" w:rsidRDefault="001B4284" w:rsidP="001B4284">
      <w:pPr>
        <w:widowControl w:val="0"/>
        <w:tabs>
          <w:tab w:val="decimal" w:pos="8820"/>
        </w:tabs>
        <w:ind w:left="720"/>
        <w:contextualSpacing/>
        <w:jc w:val="both"/>
        <w:rPr>
          <w:bCs/>
        </w:rPr>
      </w:pPr>
      <w:r w:rsidRPr="007466EF">
        <w:rPr>
          <w:bCs/>
        </w:rPr>
        <w:t>ostale pravne osobe od strateškog interesa</w:t>
      </w:r>
      <w:r w:rsidRPr="007466EF">
        <w:rPr>
          <w:bCs/>
        </w:rPr>
        <w:tab/>
        <w:t>188.832.920,09</w:t>
      </w:r>
    </w:p>
    <w:p w14:paraId="01E1556E" w14:textId="77777777" w:rsidR="001B4284" w:rsidRPr="00FB0E6E" w:rsidRDefault="001B4284" w:rsidP="001B4284">
      <w:pPr>
        <w:jc w:val="both"/>
      </w:pPr>
    </w:p>
    <w:p w14:paraId="3C971250" w14:textId="77777777" w:rsidR="001B4284" w:rsidRPr="007466EF" w:rsidRDefault="001B4284" w:rsidP="001B4284">
      <w:pPr>
        <w:jc w:val="both"/>
        <w:rPr>
          <w:b/>
          <w:bCs/>
          <w:u w:val="single"/>
        </w:rPr>
      </w:pPr>
      <w:r w:rsidRPr="007466EF">
        <w:rPr>
          <w:b/>
          <w:bCs/>
          <w:u w:val="single"/>
        </w:rPr>
        <w:t>Obvezne Bilješke uz Bilancu</w:t>
      </w:r>
    </w:p>
    <w:p w14:paraId="0AA652A1" w14:textId="77777777" w:rsidR="001B4284" w:rsidRPr="007466EF" w:rsidRDefault="001B4284" w:rsidP="001B4284">
      <w:pPr>
        <w:jc w:val="both"/>
        <w:rPr>
          <w:bCs/>
        </w:rPr>
      </w:pPr>
    </w:p>
    <w:p w14:paraId="29BCA143" w14:textId="77777777" w:rsidR="001B4284" w:rsidRPr="007466EF" w:rsidRDefault="001B4284" w:rsidP="001B4284">
      <w:pPr>
        <w:jc w:val="both"/>
        <w:rPr>
          <w:bCs/>
        </w:rPr>
      </w:pPr>
      <w:r w:rsidRPr="007466EF">
        <w:rPr>
          <w:bCs/>
        </w:rPr>
        <w:t>Pravilnikom o financijskom izvještavanju u proračunskom računovodstvu (Narodne novine, br. 37/22.) u članku 15. propisan je sadržaj obveznih Bilješki uz Bilancu.</w:t>
      </w:r>
    </w:p>
    <w:p w14:paraId="448358B6" w14:textId="77777777" w:rsidR="001B4284" w:rsidRPr="007466EF" w:rsidRDefault="001B4284" w:rsidP="001B4284">
      <w:pPr>
        <w:jc w:val="both"/>
      </w:pPr>
      <w:r w:rsidRPr="007466EF">
        <w:t xml:space="preserve"> Obvezne Bilješke uz Bilancu jesu:</w:t>
      </w:r>
    </w:p>
    <w:p w14:paraId="7DEF21FE" w14:textId="77777777" w:rsidR="001B4284" w:rsidRPr="007466EF" w:rsidRDefault="001B4284" w:rsidP="001B4284">
      <w:pPr>
        <w:numPr>
          <w:ilvl w:val="0"/>
          <w:numId w:val="12"/>
        </w:numPr>
        <w:contextualSpacing/>
        <w:jc w:val="both"/>
      </w:pPr>
      <w:r w:rsidRPr="007466EF">
        <w:t>Popis ugovornih odnosa i slično koji uz ispunjenje određenih uvjeta, mogu postati obveza ili imovina (dana kreditna pisma, hipoteke i slično) i</w:t>
      </w:r>
    </w:p>
    <w:p w14:paraId="59F81258" w14:textId="77777777" w:rsidR="001B4284" w:rsidRPr="007466EF" w:rsidRDefault="001B4284" w:rsidP="001B4284">
      <w:pPr>
        <w:numPr>
          <w:ilvl w:val="0"/>
          <w:numId w:val="12"/>
        </w:numPr>
        <w:contextualSpacing/>
        <w:jc w:val="both"/>
      </w:pPr>
      <w:r w:rsidRPr="007466EF">
        <w:t>Popis sudskih sporova u tijeku.</w:t>
      </w:r>
    </w:p>
    <w:p w14:paraId="1CE4AA97" w14:textId="77777777" w:rsidR="001B4284" w:rsidRPr="007466EF" w:rsidRDefault="001B4284" w:rsidP="001B4284">
      <w:pPr>
        <w:jc w:val="both"/>
        <w:rPr>
          <w:szCs w:val="20"/>
        </w:rPr>
      </w:pPr>
    </w:p>
    <w:p w14:paraId="0B71168F" w14:textId="0C7B2C2B" w:rsidR="001B4284" w:rsidRPr="007466EF" w:rsidRDefault="001B4284" w:rsidP="001B4284">
      <w:pPr>
        <w:jc w:val="both"/>
        <w:rPr>
          <w:szCs w:val="20"/>
        </w:rPr>
      </w:pPr>
      <w:r w:rsidRPr="007466EF">
        <w:rPr>
          <w:szCs w:val="20"/>
        </w:rPr>
        <w:t>Popisi iz točke 1. i 2. daju se u privitku.</w:t>
      </w:r>
    </w:p>
    <w:p w14:paraId="78A64345" w14:textId="77777777" w:rsidR="001B4284" w:rsidRPr="007466EF" w:rsidRDefault="001B4284" w:rsidP="001B4284">
      <w:pPr>
        <w:jc w:val="both"/>
        <w:rPr>
          <w:szCs w:val="20"/>
        </w:rPr>
        <w:sectPr w:rsidR="001B4284" w:rsidRPr="007466EF">
          <w:pgSz w:w="11906" w:h="16838"/>
          <w:pgMar w:top="1417" w:right="1417" w:bottom="1417" w:left="1417" w:header="708" w:footer="708" w:gutter="0"/>
          <w:cols w:space="708"/>
          <w:docGrid w:linePitch="360"/>
        </w:sectPr>
      </w:pPr>
    </w:p>
    <w:p w14:paraId="1C9D905C" w14:textId="77777777" w:rsidR="00864F97" w:rsidRPr="007466EF" w:rsidRDefault="00864F97" w:rsidP="00864F97">
      <w:pPr>
        <w:pStyle w:val="Naslov1"/>
      </w:pPr>
      <w:r w:rsidRPr="007466EF">
        <w:lastRenderedPageBreak/>
        <w:t>BILJEŠKE UZ IZVJEŠTAJ O PROMJENAMA U VRIJEDNOSTI I OBUJMU IMOVINE I OBVEZA</w:t>
      </w:r>
    </w:p>
    <w:p w14:paraId="63B7E82B" w14:textId="77777777" w:rsidR="00864F97" w:rsidRPr="007466EF" w:rsidRDefault="00864F97" w:rsidP="00864F97">
      <w:pPr>
        <w:jc w:val="center"/>
        <w:rPr>
          <w:sz w:val="28"/>
          <w:szCs w:val="28"/>
        </w:rPr>
      </w:pPr>
    </w:p>
    <w:p w14:paraId="7D22CBA8" w14:textId="16822C0D" w:rsidR="00864F97" w:rsidRPr="00FB0E6E" w:rsidRDefault="00864F97" w:rsidP="00FB0E6E">
      <w:pPr>
        <w:jc w:val="center"/>
        <w:rPr>
          <w:sz w:val="28"/>
          <w:szCs w:val="28"/>
        </w:rPr>
      </w:pPr>
      <w:r w:rsidRPr="007466EF">
        <w:rPr>
          <w:sz w:val="28"/>
          <w:szCs w:val="28"/>
        </w:rPr>
        <w:t xml:space="preserve">Bilješka </w:t>
      </w:r>
      <w:r w:rsidR="00FB0E6E">
        <w:rPr>
          <w:sz w:val="28"/>
          <w:szCs w:val="28"/>
        </w:rPr>
        <w:t>1.</w:t>
      </w:r>
    </w:p>
    <w:p w14:paraId="3AEBF5E6" w14:textId="45D2E46D" w:rsidR="00864F97" w:rsidRPr="007466EF" w:rsidRDefault="00864F97" w:rsidP="00864F97">
      <w:pPr>
        <w:jc w:val="both"/>
      </w:pPr>
      <w:r w:rsidRPr="007466EF">
        <w:t xml:space="preserve">U Obrascu P-VRIO evidentirane su sljedeće promjene: </w:t>
      </w:r>
    </w:p>
    <w:p w14:paraId="4691FCEB" w14:textId="69A09C9C" w:rsidR="001B4284" w:rsidRPr="007466EF" w:rsidRDefault="001B4284" w:rsidP="00864F97">
      <w:pPr>
        <w:jc w:val="both"/>
      </w:pPr>
    </w:p>
    <w:tbl>
      <w:tblPr>
        <w:tblW w:w="9552" w:type="dxa"/>
        <w:jc w:val="center"/>
        <w:tblLook w:val="04A0" w:firstRow="1" w:lastRow="0" w:firstColumn="1" w:lastColumn="0" w:noHBand="0" w:noVBand="1"/>
      </w:tblPr>
      <w:tblGrid>
        <w:gridCol w:w="4394"/>
        <w:gridCol w:w="1638"/>
        <w:gridCol w:w="1740"/>
        <w:gridCol w:w="1780"/>
      </w:tblGrid>
      <w:tr w:rsidR="001B4284" w:rsidRPr="007466EF" w14:paraId="26A19E30" w14:textId="77777777" w:rsidTr="001B4284">
        <w:trPr>
          <w:trHeight w:val="645"/>
          <w:jc w:val="center"/>
        </w:trPr>
        <w:tc>
          <w:tcPr>
            <w:tcW w:w="43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8AC9EDC" w14:textId="77777777" w:rsidR="001B4284" w:rsidRPr="007466EF" w:rsidRDefault="001B4284" w:rsidP="001B4284">
            <w:pPr>
              <w:jc w:val="center"/>
              <w:rPr>
                <w:b/>
                <w:bCs/>
              </w:rPr>
            </w:pPr>
            <w:r w:rsidRPr="007466EF">
              <w:rPr>
                <w:b/>
                <w:bCs/>
              </w:rPr>
              <w:t>Opis knjiženja</w:t>
            </w:r>
          </w:p>
        </w:tc>
        <w:tc>
          <w:tcPr>
            <w:tcW w:w="1638" w:type="dxa"/>
            <w:tcBorders>
              <w:top w:val="single" w:sz="8" w:space="0" w:color="auto"/>
              <w:left w:val="nil"/>
              <w:bottom w:val="single" w:sz="8" w:space="0" w:color="auto"/>
              <w:right w:val="single" w:sz="4" w:space="0" w:color="auto"/>
            </w:tcBorders>
            <w:shd w:val="clear" w:color="auto" w:fill="auto"/>
            <w:noWrap/>
            <w:vAlign w:val="center"/>
            <w:hideMark/>
          </w:tcPr>
          <w:p w14:paraId="61572181" w14:textId="77777777" w:rsidR="001B4284" w:rsidRPr="007466EF" w:rsidRDefault="001B4284" w:rsidP="001B4284">
            <w:pPr>
              <w:jc w:val="center"/>
              <w:rPr>
                <w:b/>
                <w:bCs/>
              </w:rPr>
            </w:pPr>
            <w:r w:rsidRPr="007466EF">
              <w:rPr>
                <w:b/>
                <w:bCs/>
              </w:rPr>
              <w:t>Iznos</w:t>
            </w:r>
          </w:p>
        </w:tc>
        <w:tc>
          <w:tcPr>
            <w:tcW w:w="1740" w:type="dxa"/>
            <w:tcBorders>
              <w:top w:val="single" w:sz="8" w:space="0" w:color="auto"/>
              <w:left w:val="nil"/>
              <w:bottom w:val="single" w:sz="8" w:space="0" w:color="auto"/>
              <w:right w:val="single" w:sz="4" w:space="0" w:color="auto"/>
            </w:tcBorders>
            <w:shd w:val="clear" w:color="auto" w:fill="auto"/>
            <w:vAlign w:val="center"/>
            <w:hideMark/>
          </w:tcPr>
          <w:p w14:paraId="66AD4BEB" w14:textId="77777777" w:rsidR="001B4284" w:rsidRPr="007466EF" w:rsidRDefault="001B4284" w:rsidP="001B4284">
            <w:pPr>
              <w:jc w:val="center"/>
              <w:rPr>
                <w:b/>
                <w:bCs/>
              </w:rPr>
            </w:pPr>
            <w:r w:rsidRPr="007466EF">
              <w:rPr>
                <w:b/>
                <w:bCs/>
              </w:rPr>
              <w:t>smanjenje/ povećanje</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14:paraId="21467274" w14:textId="77777777" w:rsidR="001B4284" w:rsidRPr="007466EF" w:rsidRDefault="001B4284" w:rsidP="001B4284">
            <w:pPr>
              <w:jc w:val="center"/>
              <w:rPr>
                <w:b/>
                <w:bCs/>
              </w:rPr>
            </w:pPr>
            <w:r w:rsidRPr="007466EF">
              <w:rPr>
                <w:b/>
                <w:bCs/>
              </w:rPr>
              <w:t>Šifra u izvještaju P-VRIO</w:t>
            </w:r>
          </w:p>
        </w:tc>
      </w:tr>
      <w:tr w:rsidR="001B4284" w:rsidRPr="007466EF" w14:paraId="78F5C41A" w14:textId="77777777" w:rsidTr="001B4284">
        <w:trPr>
          <w:trHeight w:val="510"/>
          <w:jc w:val="center"/>
        </w:trPr>
        <w:tc>
          <w:tcPr>
            <w:tcW w:w="4394" w:type="dxa"/>
            <w:tcBorders>
              <w:top w:val="nil"/>
              <w:left w:val="single" w:sz="8" w:space="0" w:color="auto"/>
              <w:bottom w:val="single" w:sz="4" w:space="0" w:color="auto"/>
              <w:right w:val="single" w:sz="4" w:space="0" w:color="auto"/>
            </w:tcBorders>
            <w:shd w:val="clear" w:color="auto" w:fill="auto"/>
            <w:vAlign w:val="center"/>
            <w:hideMark/>
          </w:tcPr>
          <w:p w14:paraId="213E6D4F" w14:textId="77777777" w:rsidR="001B4284" w:rsidRPr="007466EF" w:rsidRDefault="001B4284" w:rsidP="001B4284">
            <w:pPr>
              <w:rPr>
                <w:sz w:val="20"/>
                <w:szCs w:val="20"/>
              </w:rPr>
            </w:pPr>
            <w:r w:rsidRPr="007466EF">
              <w:rPr>
                <w:sz w:val="20"/>
                <w:szCs w:val="20"/>
              </w:rPr>
              <w:t>Promjena u obujmu financijske imovine - Potraž.za dane zajmove (FRZ)</w:t>
            </w:r>
          </w:p>
        </w:tc>
        <w:tc>
          <w:tcPr>
            <w:tcW w:w="1638" w:type="dxa"/>
            <w:tcBorders>
              <w:top w:val="nil"/>
              <w:left w:val="nil"/>
              <w:bottom w:val="single" w:sz="4" w:space="0" w:color="auto"/>
              <w:right w:val="single" w:sz="4" w:space="0" w:color="auto"/>
            </w:tcBorders>
            <w:shd w:val="clear" w:color="auto" w:fill="auto"/>
            <w:noWrap/>
            <w:vAlign w:val="center"/>
            <w:hideMark/>
          </w:tcPr>
          <w:p w14:paraId="72F42951" w14:textId="77777777" w:rsidR="001B4284" w:rsidRPr="007466EF" w:rsidRDefault="001B4284" w:rsidP="001B4284">
            <w:pPr>
              <w:jc w:val="right"/>
            </w:pPr>
            <w:r w:rsidRPr="007466EF">
              <w:t>9.179.858,43</w:t>
            </w:r>
          </w:p>
        </w:tc>
        <w:tc>
          <w:tcPr>
            <w:tcW w:w="1740" w:type="dxa"/>
            <w:tcBorders>
              <w:top w:val="nil"/>
              <w:left w:val="nil"/>
              <w:bottom w:val="single" w:sz="4" w:space="0" w:color="auto"/>
              <w:right w:val="single" w:sz="4" w:space="0" w:color="auto"/>
            </w:tcBorders>
            <w:shd w:val="clear" w:color="auto" w:fill="auto"/>
            <w:vAlign w:val="center"/>
            <w:hideMark/>
          </w:tcPr>
          <w:p w14:paraId="1BE1FC6B" w14:textId="77777777" w:rsidR="001B4284" w:rsidRPr="007466EF" w:rsidRDefault="001B4284" w:rsidP="001B4284">
            <w:pPr>
              <w:jc w:val="center"/>
              <w:rPr>
                <w:sz w:val="20"/>
                <w:szCs w:val="20"/>
              </w:rPr>
            </w:pPr>
            <w:r w:rsidRPr="007466EF">
              <w:rPr>
                <w:sz w:val="20"/>
                <w:szCs w:val="20"/>
              </w:rPr>
              <w:t>smanjenje obujma imovine</w:t>
            </w:r>
          </w:p>
        </w:tc>
        <w:tc>
          <w:tcPr>
            <w:tcW w:w="1780" w:type="dxa"/>
            <w:tcBorders>
              <w:top w:val="nil"/>
              <w:left w:val="nil"/>
              <w:bottom w:val="single" w:sz="4" w:space="0" w:color="auto"/>
              <w:right w:val="single" w:sz="8" w:space="0" w:color="auto"/>
            </w:tcBorders>
            <w:shd w:val="clear" w:color="auto" w:fill="auto"/>
            <w:vAlign w:val="center"/>
            <w:hideMark/>
          </w:tcPr>
          <w:p w14:paraId="479D4F3D" w14:textId="77777777" w:rsidR="001B4284" w:rsidRPr="007466EF" w:rsidRDefault="001B4284" w:rsidP="001B4284">
            <w:pPr>
              <w:jc w:val="center"/>
              <w:rPr>
                <w:sz w:val="20"/>
                <w:szCs w:val="20"/>
              </w:rPr>
            </w:pPr>
            <w:r w:rsidRPr="007466EF">
              <w:rPr>
                <w:sz w:val="20"/>
                <w:szCs w:val="20"/>
              </w:rPr>
              <w:t>P026</w:t>
            </w:r>
          </w:p>
        </w:tc>
      </w:tr>
      <w:tr w:rsidR="001B4284" w:rsidRPr="007466EF" w14:paraId="35F5C75A" w14:textId="77777777" w:rsidTr="001B4284">
        <w:trPr>
          <w:trHeight w:val="510"/>
          <w:jc w:val="center"/>
        </w:trPr>
        <w:tc>
          <w:tcPr>
            <w:tcW w:w="4394" w:type="dxa"/>
            <w:tcBorders>
              <w:top w:val="nil"/>
              <w:left w:val="single" w:sz="8" w:space="0" w:color="auto"/>
              <w:bottom w:val="single" w:sz="4" w:space="0" w:color="auto"/>
              <w:right w:val="single" w:sz="4" w:space="0" w:color="auto"/>
            </w:tcBorders>
            <w:shd w:val="clear" w:color="auto" w:fill="auto"/>
            <w:vAlign w:val="center"/>
            <w:hideMark/>
          </w:tcPr>
          <w:p w14:paraId="07711DB3" w14:textId="77777777" w:rsidR="001B4284" w:rsidRPr="007466EF" w:rsidRDefault="001B4284" w:rsidP="001B4284">
            <w:pPr>
              <w:rPr>
                <w:sz w:val="20"/>
                <w:szCs w:val="20"/>
              </w:rPr>
            </w:pPr>
            <w:r w:rsidRPr="007466EF">
              <w:rPr>
                <w:sz w:val="20"/>
                <w:szCs w:val="20"/>
              </w:rPr>
              <w:t xml:space="preserve">Promjena u obujmu financijske imovine - </w:t>
            </w:r>
            <w:proofErr w:type="spellStart"/>
            <w:r w:rsidRPr="007466EF">
              <w:rPr>
                <w:sz w:val="20"/>
                <w:szCs w:val="20"/>
              </w:rPr>
              <w:t>Potraž</w:t>
            </w:r>
            <w:proofErr w:type="spellEnd"/>
            <w:r w:rsidRPr="007466EF">
              <w:rPr>
                <w:sz w:val="20"/>
                <w:szCs w:val="20"/>
              </w:rPr>
              <w:t>. za prihode poslovanja (kamate na dane zajmove FRZ)</w:t>
            </w:r>
          </w:p>
        </w:tc>
        <w:tc>
          <w:tcPr>
            <w:tcW w:w="1638" w:type="dxa"/>
            <w:tcBorders>
              <w:top w:val="nil"/>
              <w:left w:val="nil"/>
              <w:bottom w:val="single" w:sz="4" w:space="0" w:color="auto"/>
              <w:right w:val="single" w:sz="4" w:space="0" w:color="auto"/>
            </w:tcBorders>
            <w:shd w:val="clear" w:color="auto" w:fill="auto"/>
            <w:noWrap/>
            <w:vAlign w:val="center"/>
            <w:hideMark/>
          </w:tcPr>
          <w:p w14:paraId="198D0012" w14:textId="77777777" w:rsidR="001B4284" w:rsidRPr="007466EF" w:rsidRDefault="001B4284" w:rsidP="001B4284">
            <w:pPr>
              <w:jc w:val="right"/>
            </w:pPr>
            <w:r w:rsidRPr="007466EF">
              <w:t>5.233.620,53</w:t>
            </w:r>
          </w:p>
        </w:tc>
        <w:tc>
          <w:tcPr>
            <w:tcW w:w="1740" w:type="dxa"/>
            <w:tcBorders>
              <w:top w:val="nil"/>
              <w:left w:val="nil"/>
              <w:bottom w:val="single" w:sz="4" w:space="0" w:color="auto"/>
              <w:right w:val="single" w:sz="4" w:space="0" w:color="auto"/>
            </w:tcBorders>
            <w:shd w:val="clear" w:color="auto" w:fill="auto"/>
            <w:vAlign w:val="center"/>
            <w:hideMark/>
          </w:tcPr>
          <w:p w14:paraId="5148742D" w14:textId="77777777" w:rsidR="001B4284" w:rsidRPr="007466EF" w:rsidRDefault="001B4284" w:rsidP="001B4284">
            <w:pPr>
              <w:jc w:val="center"/>
              <w:rPr>
                <w:sz w:val="20"/>
                <w:szCs w:val="20"/>
              </w:rPr>
            </w:pPr>
            <w:r w:rsidRPr="007466EF">
              <w:rPr>
                <w:sz w:val="20"/>
                <w:szCs w:val="20"/>
              </w:rPr>
              <w:t>smanjenje obujma imovine</w:t>
            </w:r>
          </w:p>
        </w:tc>
        <w:tc>
          <w:tcPr>
            <w:tcW w:w="1780" w:type="dxa"/>
            <w:tcBorders>
              <w:top w:val="nil"/>
              <w:left w:val="nil"/>
              <w:bottom w:val="single" w:sz="4" w:space="0" w:color="auto"/>
              <w:right w:val="single" w:sz="8" w:space="0" w:color="auto"/>
            </w:tcBorders>
            <w:shd w:val="clear" w:color="auto" w:fill="auto"/>
            <w:vAlign w:val="center"/>
            <w:hideMark/>
          </w:tcPr>
          <w:p w14:paraId="639DC0AE" w14:textId="77777777" w:rsidR="001B4284" w:rsidRPr="007466EF" w:rsidRDefault="001B4284" w:rsidP="001B4284">
            <w:pPr>
              <w:jc w:val="center"/>
              <w:rPr>
                <w:sz w:val="20"/>
                <w:szCs w:val="20"/>
              </w:rPr>
            </w:pPr>
            <w:r w:rsidRPr="007466EF">
              <w:rPr>
                <w:sz w:val="20"/>
                <w:szCs w:val="20"/>
              </w:rPr>
              <w:t>P029</w:t>
            </w:r>
          </w:p>
        </w:tc>
      </w:tr>
      <w:tr w:rsidR="001B4284" w:rsidRPr="007466EF" w14:paraId="6CEE7233" w14:textId="77777777" w:rsidTr="001B4284">
        <w:trPr>
          <w:trHeight w:val="510"/>
          <w:jc w:val="center"/>
        </w:trPr>
        <w:tc>
          <w:tcPr>
            <w:tcW w:w="4394" w:type="dxa"/>
            <w:tcBorders>
              <w:top w:val="nil"/>
              <w:left w:val="single" w:sz="8" w:space="0" w:color="auto"/>
              <w:bottom w:val="single" w:sz="4" w:space="0" w:color="auto"/>
              <w:right w:val="single" w:sz="4" w:space="0" w:color="auto"/>
            </w:tcBorders>
            <w:shd w:val="clear" w:color="auto" w:fill="auto"/>
            <w:vAlign w:val="center"/>
            <w:hideMark/>
          </w:tcPr>
          <w:p w14:paraId="30ED9001" w14:textId="77777777" w:rsidR="001B4284" w:rsidRPr="007466EF" w:rsidRDefault="001B4284" w:rsidP="001B4284">
            <w:pPr>
              <w:rPr>
                <w:sz w:val="20"/>
                <w:szCs w:val="20"/>
              </w:rPr>
            </w:pPr>
            <w:r w:rsidRPr="007466EF">
              <w:rPr>
                <w:sz w:val="20"/>
                <w:szCs w:val="20"/>
              </w:rPr>
              <w:t>Promjena u obujmu financijske imovine - Potraž.za prihode poslovanja (ŽUBA)</w:t>
            </w:r>
          </w:p>
        </w:tc>
        <w:tc>
          <w:tcPr>
            <w:tcW w:w="1638" w:type="dxa"/>
            <w:tcBorders>
              <w:top w:val="nil"/>
              <w:left w:val="nil"/>
              <w:bottom w:val="single" w:sz="4" w:space="0" w:color="auto"/>
              <w:right w:val="single" w:sz="4" w:space="0" w:color="auto"/>
            </w:tcBorders>
            <w:shd w:val="clear" w:color="auto" w:fill="auto"/>
            <w:noWrap/>
            <w:vAlign w:val="center"/>
            <w:hideMark/>
          </w:tcPr>
          <w:p w14:paraId="24BA34B5" w14:textId="77777777" w:rsidR="001B4284" w:rsidRPr="007466EF" w:rsidRDefault="001B4284" w:rsidP="001B4284">
            <w:pPr>
              <w:jc w:val="right"/>
            </w:pPr>
            <w:r w:rsidRPr="007466EF">
              <w:t>965.779,49</w:t>
            </w:r>
          </w:p>
        </w:tc>
        <w:tc>
          <w:tcPr>
            <w:tcW w:w="1740" w:type="dxa"/>
            <w:tcBorders>
              <w:top w:val="nil"/>
              <w:left w:val="nil"/>
              <w:bottom w:val="single" w:sz="4" w:space="0" w:color="auto"/>
              <w:right w:val="single" w:sz="4" w:space="0" w:color="auto"/>
            </w:tcBorders>
            <w:shd w:val="clear" w:color="auto" w:fill="auto"/>
            <w:vAlign w:val="center"/>
            <w:hideMark/>
          </w:tcPr>
          <w:p w14:paraId="1684BC07" w14:textId="77777777" w:rsidR="001B4284" w:rsidRPr="007466EF" w:rsidRDefault="001B4284" w:rsidP="001B4284">
            <w:pPr>
              <w:jc w:val="center"/>
              <w:rPr>
                <w:sz w:val="20"/>
                <w:szCs w:val="20"/>
              </w:rPr>
            </w:pPr>
            <w:r w:rsidRPr="007466EF">
              <w:rPr>
                <w:sz w:val="20"/>
                <w:szCs w:val="20"/>
              </w:rPr>
              <w:t>smanjenje obujma imovine</w:t>
            </w:r>
          </w:p>
        </w:tc>
        <w:tc>
          <w:tcPr>
            <w:tcW w:w="1780" w:type="dxa"/>
            <w:tcBorders>
              <w:top w:val="nil"/>
              <w:left w:val="nil"/>
              <w:bottom w:val="single" w:sz="4" w:space="0" w:color="auto"/>
              <w:right w:val="single" w:sz="8" w:space="0" w:color="auto"/>
            </w:tcBorders>
            <w:shd w:val="clear" w:color="auto" w:fill="auto"/>
            <w:vAlign w:val="center"/>
            <w:hideMark/>
          </w:tcPr>
          <w:p w14:paraId="7D2E1BD3" w14:textId="77777777" w:rsidR="001B4284" w:rsidRPr="007466EF" w:rsidRDefault="001B4284" w:rsidP="001B4284">
            <w:pPr>
              <w:jc w:val="center"/>
              <w:rPr>
                <w:sz w:val="20"/>
                <w:szCs w:val="20"/>
              </w:rPr>
            </w:pPr>
            <w:r w:rsidRPr="007466EF">
              <w:rPr>
                <w:sz w:val="20"/>
                <w:szCs w:val="20"/>
              </w:rPr>
              <w:t>P029</w:t>
            </w:r>
          </w:p>
        </w:tc>
      </w:tr>
      <w:tr w:rsidR="001B4284" w:rsidRPr="007466EF" w14:paraId="05B6CCE6" w14:textId="77777777" w:rsidTr="001B4284">
        <w:trPr>
          <w:trHeight w:val="510"/>
          <w:jc w:val="center"/>
        </w:trPr>
        <w:tc>
          <w:tcPr>
            <w:tcW w:w="4394" w:type="dxa"/>
            <w:tcBorders>
              <w:top w:val="nil"/>
              <w:left w:val="single" w:sz="8" w:space="0" w:color="auto"/>
              <w:bottom w:val="single" w:sz="4" w:space="0" w:color="auto"/>
              <w:right w:val="single" w:sz="4" w:space="0" w:color="auto"/>
            </w:tcBorders>
            <w:shd w:val="clear" w:color="auto" w:fill="auto"/>
            <w:vAlign w:val="center"/>
            <w:hideMark/>
          </w:tcPr>
          <w:p w14:paraId="129FF4CF" w14:textId="77777777" w:rsidR="001B4284" w:rsidRPr="007466EF" w:rsidRDefault="001B4284" w:rsidP="001B4284">
            <w:pPr>
              <w:rPr>
                <w:sz w:val="20"/>
                <w:szCs w:val="20"/>
              </w:rPr>
            </w:pPr>
            <w:r w:rsidRPr="007466EF">
              <w:rPr>
                <w:sz w:val="20"/>
                <w:szCs w:val="20"/>
              </w:rPr>
              <w:t>Promjene u obujmu financijske imovine - Potraž.za prihode poslovanja (HELIOS FAROS)</w:t>
            </w:r>
          </w:p>
        </w:tc>
        <w:tc>
          <w:tcPr>
            <w:tcW w:w="1638" w:type="dxa"/>
            <w:tcBorders>
              <w:top w:val="nil"/>
              <w:left w:val="nil"/>
              <w:bottom w:val="single" w:sz="4" w:space="0" w:color="auto"/>
              <w:right w:val="single" w:sz="4" w:space="0" w:color="auto"/>
            </w:tcBorders>
            <w:shd w:val="clear" w:color="auto" w:fill="auto"/>
            <w:noWrap/>
            <w:vAlign w:val="center"/>
            <w:hideMark/>
          </w:tcPr>
          <w:p w14:paraId="1D7F5A6E" w14:textId="77777777" w:rsidR="001B4284" w:rsidRPr="007466EF" w:rsidRDefault="001B4284" w:rsidP="001B4284">
            <w:pPr>
              <w:jc w:val="right"/>
            </w:pPr>
            <w:r w:rsidRPr="007466EF">
              <w:t>12.011.760,25</w:t>
            </w:r>
          </w:p>
        </w:tc>
        <w:tc>
          <w:tcPr>
            <w:tcW w:w="1740" w:type="dxa"/>
            <w:tcBorders>
              <w:top w:val="nil"/>
              <w:left w:val="nil"/>
              <w:bottom w:val="single" w:sz="4" w:space="0" w:color="auto"/>
              <w:right w:val="single" w:sz="4" w:space="0" w:color="auto"/>
            </w:tcBorders>
            <w:shd w:val="clear" w:color="auto" w:fill="auto"/>
            <w:vAlign w:val="center"/>
            <w:hideMark/>
          </w:tcPr>
          <w:p w14:paraId="39BCEE66" w14:textId="77777777" w:rsidR="001B4284" w:rsidRPr="007466EF" w:rsidRDefault="001B4284" w:rsidP="001B4284">
            <w:pPr>
              <w:jc w:val="center"/>
              <w:rPr>
                <w:sz w:val="20"/>
                <w:szCs w:val="20"/>
              </w:rPr>
            </w:pPr>
            <w:r w:rsidRPr="007466EF">
              <w:rPr>
                <w:sz w:val="20"/>
                <w:szCs w:val="20"/>
              </w:rPr>
              <w:t>smanjenje obujma imovine</w:t>
            </w:r>
          </w:p>
        </w:tc>
        <w:tc>
          <w:tcPr>
            <w:tcW w:w="1780" w:type="dxa"/>
            <w:tcBorders>
              <w:top w:val="nil"/>
              <w:left w:val="nil"/>
              <w:bottom w:val="single" w:sz="4" w:space="0" w:color="auto"/>
              <w:right w:val="single" w:sz="8" w:space="0" w:color="auto"/>
            </w:tcBorders>
            <w:shd w:val="clear" w:color="auto" w:fill="auto"/>
            <w:vAlign w:val="center"/>
            <w:hideMark/>
          </w:tcPr>
          <w:p w14:paraId="2012A0FD" w14:textId="77777777" w:rsidR="001B4284" w:rsidRPr="007466EF" w:rsidRDefault="001B4284" w:rsidP="001B4284">
            <w:pPr>
              <w:jc w:val="center"/>
              <w:rPr>
                <w:sz w:val="20"/>
                <w:szCs w:val="20"/>
              </w:rPr>
            </w:pPr>
            <w:r w:rsidRPr="007466EF">
              <w:rPr>
                <w:sz w:val="20"/>
                <w:szCs w:val="20"/>
              </w:rPr>
              <w:t>P029</w:t>
            </w:r>
          </w:p>
        </w:tc>
      </w:tr>
      <w:tr w:rsidR="001B4284" w:rsidRPr="007466EF" w14:paraId="4198174A" w14:textId="77777777" w:rsidTr="001B4284">
        <w:trPr>
          <w:trHeight w:val="510"/>
          <w:jc w:val="center"/>
        </w:trPr>
        <w:tc>
          <w:tcPr>
            <w:tcW w:w="4394" w:type="dxa"/>
            <w:tcBorders>
              <w:top w:val="nil"/>
              <w:left w:val="single" w:sz="8" w:space="0" w:color="auto"/>
              <w:bottom w:val="single" w:sz="4" w:space="0" w:color="auto"/>
              <w:right w:val="single" w:sz="4" w:space="0" w:color="auto"/>
            </w:tcBorders>
            <w:shd w:val="clear" w:color="auto" w:fill="auto"/>
            <w:vAlign w:val="center"/>
            <w:hideMark/>
          </w:tcPr>
          <w:p w14:paraId="50DF55DE" w14:textId="77777777" w:rsidR="001B4284" w:rsidRPr="007466EF" w:rsidRDefault="001B4284" w:rsidP="001B4284">
            <w:pPr>
              <w:rPr>
                <w:sz w:val="20"/>
                <w:szCs w:val="20"/>
              </w:rPr>
            </w:pPr>
            <w:r w:rsidRPr="007466EF">
              <w:rPr>
                <w:sz w:val="20"/>
                <w:szCs w:val="20"/>
              </w:rPr>
              <w:t xml:space="preserve">Promjene u obujmu financijske imovine - Potraž.za prihode poslovanja (Croatia </w:t>
            </w:r>
            <w:proofErr w:type="spellStart"/>
            <w:r w:rsidRPr="007466EF">
              <w:rPr>
                <w:sz w:val="20"/>
                <w:szCs w:val="20"/>
              </w:rPr>
              <w:t>airlines</w:t>
            </w:r>
            <w:proofErr w:type="spellEnd"/>
            <w:r w:rsidRPr="007466EF">
              <w:rPr>
                <w:sz w:val="20"/>
                <w:szCs w:val="20"/>
              </w:rPr>
              <w:t>)</w:t>
            </w:r>
          </w:p>
        </w:tc>
        <w:tc>
          <w:tcPr>
            <w:tcW w:w="1638" w:type="dxa"/>
            <w:tcBorders>
              <w:top w:val="nil"/>
              <w:left w:val="nil"/>
              <w:bottom w:val="single" w:sz="4" w:space="0" w:color="auto"/>
              <w:right w:val="single" w:sz="4" w:space="0" w:color="auto"/>
            </w:tcBorders>
            <w:shd w:val="clear" w:color="auto" w:fill="auto"/>
            <w:noWrap/>
            <w:vAlign w:val="center"/>
            <w:hideMark/>
          </w:tcPr>
          <w:p w14:paraId="22EDF5F9" w14:textId="77777777" w:rsidR="001B4284" w:rsidRPr="007466EF" w:rsidRDefault="001B4284" w:rsidP="001B4284">
            <w:pPr>
              <w:jc w:val="right"/>
            </w:pPr>
            <w:r w:rsidRPr="007466EF">
              <w:t>1.675.156,61</w:t>
            </w:r>
          </w:p>
        </w:tc>
        <w:tc>
          <w:tcPr>
            <w:tcW w:w="1740" w:type="dxa"/>
            <w:tcBorders>
              <w:top w:val="nil"/>
              <w:left w:val="nil"/>
              <w:bottom w:val="single" w:sz="4" w:space="0" w:color="auto"/>
              <w:right w:val="single" w:sz="4" w:space="0" w:color="auto"/>
            </w:tcBorders>
            <w:shd w:val="clear" w:color="auto" w:fill="auto"/>
            <w:vAlign w:val="center"/>
            <w:hideMark/>
          </w:tcPr>
          <w:p w14:paraId="1E022082" w14:textId="77777777" w:rsidR="001B4284" w:rsidRPr="007466EF" w:rsidRDefault="001B4284" w:rsidP="001B4284">
            <w:pPr>
              <w:jc w:val="center"/>
              <w:rPr>
                <w:sz w:val="20"/>
                <w:szCs w:val="20"/>
              </w:rPr>
            </w:pPr>
            <w:r w:rsidRPr="007466EF">
              <w:rPr>
                <w:sz w:val="20"/>
                <w:szCs w:val="20"/>
              </w:rPr>
              <w:t>smanjenje obujma imovine</w:t>
            </w:r>
          </w:p>
        </w:tc>
        <w:tc>
          <w:tcPr>
            <w:tcW w:w="1780" w:type="dxa"/>
            <w:tcBorders>
              <w:top w:val="nil"/>
              <w:left w:val="nil"/>
              <w:bottom w:val="single" w:sz="4" w:space="0" w:color="auto"/>
              <w:right w:val="single" w:sz="8" w:space="0" w:color="auto"/>
            </w:tcBorders>
            <w:shd w:val="clear" w:color="auto" w:fill="auto"/>
            <w:vAlign w:val="center"/>
            <w:hideMark/>
          </w:tcPr>
          <w:p w14:paraId="52A5E6E7" w14:textId="77777777" w:rsidR="001B4284" w:rsidRPr="007466EF" w:rsidRDefault="001B4284" w:rsidP="001B4284">
            <w:pPr>
              <w:jc w:val="center"/>
              <w:rPr>
                <w:sz w:val="20"/>
                <w:szCs w:val="20"/>
              </w:rPr>
            </w:pPr>
            <w:r w:rsidRPr="007466EF">
              <w:rPr>
                <w:sz w:val="20"/>
                <w:szCs w:val="20"/>
              </w:rPr>
              <w:t>P029</w:t>
            </w:r>
          </w:p>
        </w:tc>
      </w:tr>
      <w:tr w:rsidR="001B4284" w:rsidRPr="007466EF" w14:paraId="181E41E2" w14:textId="77777777" w:rsidTr="001B4284">
        <w:trPr>
          <w:trHeight w:val="510"/>
          <w:jc w:val="center"/>
        </w:trPr>
        <w:tc>
          <w:tcPr>
            <w:tcW w:w="4394" w:type="dxa"/>
            <w:tcBorders>
              <w:top w:val="nil"/>
              <w:left w:val="single" w:sz="8" w:space="0" w:color="auto"/>
              <w:bottom w:val="single" w:sz="4" w:space="0" w:color="auto"/>
              <w:right w:val="single" w:sz="4" w:space="0" w:color="auto"/>
            </w:tcBorders>
            <w:shd w:val="clear" w:color="auto" w:fill="auto"/>
            <w:vAlign w:val="center"/>
            <w:hideMark/>
          </w:tcPr>
          <w:p w14:paraId="02C256E4" w14:textId="77777777" w:rsidR="001B4284" w:rsidRPr="007466EF" w:rsidRDefault="001B4284" w:rsidP="001B4284">
            <w:pPr>
              <w:rPr>
                <w:sz w:val="20"/>
                <w:szCs w:val="20"/>
              </w:rPr>
            </w:pPr>
            <w:r w:rsidRPr="007466EF">
              <w:rPr>
                <w:sz w:val="20"/>
                <w:szCs w:val="20"/>
              </w:rPr>
              <w:t xml:space="preserve">Promjene u obujmu financijske imovine - Potraž.za dane zajmove (Croatia </w:t>
            </w:r>
            <w:proofErr w:type="spellStart"/>
            <w:r w:rsidRPr="007466EF">
              <w:rPr>
                <w:sz w:val="20"/>
                <w:szCs w:val="20"/>
              </w:rPr>
              <w:t>airlines</w:t>
            </w:r>
            <w:proofErr w:type="spellEnd"/>
            <w:r w:rsidRPr="007466EF">
              <w:rPr>
                <w:sz w:val="20"/>
                <w:szCs w:val="20"/>
              </w:rPr>
              <w:t>)</w:t>
            </w:r>
          </w:p>
        </w:tc>
        <w:tc>
          <w:tcPr>
            <w:tcW w:w="1638" w:type="dxa"/>
            <w:tcBorders>
              <w:top w:val="nil"/>
              <w:left w:val="nil"/>
              <w:bottom w:val="single" w:sz="4" w:space="0" w:color="auto"/>
              <w:right w:val="single" w:sz="4" w:space="0" w:color="auto"/>
            </w:tcBorders>
            <w:shd w:val="clear" w:color="auto" w:fill="auto"/>
            <w:noWrap/>
            <w:vAlign w:val="center"/>
            <w:hideMark/>
          </w:tcPr>
          <w:p w14:paraId="748C169B" w14:textId="77777777" w:rsidR="001B4284" w:rsidRPr="007466EF" w:rsidRDefault="001B4284" w:rsidP="001B4284">
            <w:pPr>
              <w:jc w:val="right"/>
            </w:pPr>
            <w:r w:rsidRPr="007466EF">
              <w:t>33.180.702,10</w:t>
            </w:r>
          </w:p>
        </w:tc>
        <w:tc>
          <w:tcPr>
            <w:tcW w:w="1740" w:type="dxa"/>
            <w:tcBorders>
              <w:top w:val="nil"/>
              <w:left w:val="nil"/>
              <w:bottom w:val="single" w:sz="4" w:space="0" w:color="auto"/>
              <w:right w:val="single" w:sz="4" w:space="0" w:color="auto"/>
            </w:tcBorders>
            <w:shd w:val="clear" w:color="auto" w:fill="auto"/>
            <w:vAlign w:val="center"/>
            <w:hideMark/>
          </w:tcPr>
          <w:p w14:paraId="3D4C37D7" w14:textId="77777777" w:rsidR="001B4284" w:rsidRPr="007466EF" w:rsidRDefault="001B4284" w:rsidP="001B4284">
            <w:pPr>
              <w:jc w:val="center"/>
              <w:rPr>
                <w:sz w:val="20"/>
                <w:szCs w:val="20"/>
              </w:rPr>
            </w:pPr>
            <w:r w:rsidRPr="007466EF">
              <w:rPr>
                <w:sz w:val="20"/>
                <w:szCs w:val="20"/>
              </w:rPr>
              <w:t>smanjenje obujma imovine</w:t>
            </w:r>
          </w:p>
        </w:tc>
        <w:tc>
          <w:tcPr>
            <w:tcW w:w="1780" w:type="dxa"/>
            <w:tcBorders>
              <w:top w:val="nil"/>
              <w:left w:val="nil"/>
              <w:bottom w:val="single" w:sz="4" w:space="0" w:color="auto"/>
              <w:right w:val="single" w:sz="8" w:space="0" w:color="auto"/>
            </w:tcBorders>
            <w:shd w:val="clear" w:color="auto" w:fill="auto"/>
            <w:vAlign w:val="center"/>
            <w:hideMark/>
          </w:tcPr>
          <w:p w14:paraId="30070381" w14:textId="77777777" w:rsidR="001B4284" w:rsidRPr="007466EF" w:rsidRDefault="001B4284" w:rsidP="001B4284">
            <w:pPr>
              <w:jc w:val="center"/>
              <w:rPr>
                <w:sz w:val="20"/>
                <w:szCs w:val="20"/>
              </w:rPr>
            </w:pPr>
            <w:r w:rsidRPr="007466EF">
              <w:rPr>
                <w:sz w:val="20"/>
                <w:szCs w:val="20"/>
              </w:rPr>
              <w:t>P026</w:t>
            </w:r>
          </w:p>
        </w:tc>
      </w:tr>
      <w:tr w:rsidR="001B4284" w:rsidRPr="007466EF" w14:paraId="148B586B" w14:textId="77777777" w:rsidTr="001B4284">
        <w:trPr>
          <w:trHeight w:val="510"/>
          <w:jc w:val="center"/>
        </w:trPr>
        <w:tc>
          <w:tcPr>
            <w:tcW w:w="4394" w:type="dxa"/>
            <w:tcBorders>
              <w:top w:val="nil"/>
              <w:left w:val="single" w:sz="8" w:space="0" w:color="auto"/>
              <w:bottom w:val="single" w:sz="4" w:space="0" w:color="auto"/>
              <w:right w:val="single" w:sz="4" w:space="0" w:color="auto"/>
            </w:tcBorders>
            <w:shd w:val="clear" w:color="auto" w:fill="auto"/>
            <w:vAlign w:val="center"/>
            <w:hideMark/>
          </w:tcPr>
          <w:p w14:paraId="5BD242A8" w14:textId="77777777" w:rsidR="001B4284" w:rsidRPr="007466EF" w:rsidRDefault="001B4284" w:rsidP="001B4284">
            <w:pPr>
              <w:rPr>
                <w:sz w:val="20"/>
                <w:szCs w:val="20"/>
              </w:rPr>
            </w:pPr>
            <w:r w:rsidRPr="007466EF">
              <w:rPr>
                <w:sz w:val="20"/>
                <w:szCs w:val="20"/>
              </w:rPr>
              <w:t>Promjene u vrijednosti financijske imovine - Dionice i udjeli u glavnici (IDA članski kapital)</w:t>
            </w:r>
          </w:p>
        </w:tc>
        <w:tc>
          <w:tcPr>
            <w:tcW w:w="1638" w:type="dxa"/>
            <w:tcBorders>
              <w:top w:val="nil"/>
              <w:left w:val="nil"/>
              <w:bottom w:val="single" w:sz="4" w:space="0" w:color="auto"/>
              <w:right w:val="single" w:sz="4" w:space="0" w:color="auto"/>
            </w:tcBorders>
            <w:shd w:val="clear" w:color="auto" w:fill="auto"/>
            <w:noWrap/>
            <w:vAlign w:val="center"/>
            <w:hideMark/>
          </w:tcPr>
          <w:p w14:paraId="2C5412C8" w14:textId="77777777" w:rsidR="001B4284" w:rsidRPr="007466EF" w:rsidRDefault="001B4284" w:rsidP="001B4284">
            <w:pPr>
              <w:jc w:val="right"/>
            </w:pPr>
            <w:r w:rsidRPr="007466EF">
              <w:t>42.947,83</w:t>
            </w:r>
          </w:p>
        </w:tc>
        <w:tc>
          <w:tcPr>
            <w:tcW w:w="1740" w:type="dxa"/>
            <w:tcBorders>
              <w:top w:val="nil"/>
              <w:left w:val="nil"/>
              <w:bottom w:val="single" w:sz="4" w:space="0" w:color="auto"/>
              <w:right w:val="single" w:sz="4" w:space="0" w:color="auto"/>
            </w:tcBorders>
            <w:shd w:val="clear" w:color="auto" w:fill="auto"/>
            <w:vAlign w:val="center"/>
            <w:hideMark/>
          </w:tcPr>
          <w:p w14:paraId="30613DC7" w14:textId="77777777" w:rsidR="001B4284" w:rsidRPr="007466EF" w:rsidRDefault="001B4284" w:rsidP="001B4284">
            <w:pPr>
              <w:jc w:val="center"/>
              <w:rPr>
                <w:sz w:val="20"/>
                <w:szCs w:val="20"/>
              </w:rPr>
            </w:pPr>
            <w:r w:rsidRPr="007466EF">
              <w:rPr>
                <w:sz w:val="20"/>
                <w:szCs w:val="20"/>
              </w:rPr>
              <w:t>povećanje vrijednosti imovine</w:t>
            </w:r>
          </w:p>
        </w:tc>
        <w:tc>
          <w:tcPr>
            <w:tcW w:w="1780" w:type="dxa"/>
            <w:tcBorders>
              <w:top w:val="nil"/>
              <w:left w:val="nil"/>
              <w:bottom w:val="single" w:sz="4" w:space="0" w:color="auto"/>
              <w:right w:val="single" w:sz="8" w:space="0" w:color="auto"/>
            </w:tcBorders>
            <w:shd w:val="clear" w:color="auto" w:fill="auto"/>
            <w:vAlign w:val="center"/>
            <w:hideMark/>
          </w:tcPr>
          <w:p w14:paraId="1D8BBAD6" w14:textId="77777777" w:rsidR="001B4284" w:rsidRPr="007466EF" w:rsidRDefault="001B4284" w:rsidP="001B4284">
            <w:pPr>
              <w:jc w:val="center"/>
              <w:rPr>
                <w:sz w:val="20"/>
                <w:szCs w:val="20"/>
              </w:rPr>
            </w:pPr>
            <w:r w:rsidRPr="007466EF">
              <w:rPr>
                <w:sz w:val="20"/>
                <w:szCs w:val="20"/>
              </w:rPr>
              <w:t>P013</w:t>
            </w:r>
          </w:p>
        </w:tc>
      </w:tr>
      <w:tr w:rsidR="001B4284" w:rsidRPr="007466EF" w14:paraId="3CDD025A" w14:textId="77777777" w:rsidTr="001B4284">
        <w:trPr>
          <w:trHeight w:val="510"/>
          <w:jc w:val="center"/>
        </w:trPr>
        <w:tc>
          <w:tcPr>
            <w:tcW w:w="4394" w:type="dxa"/>
            <w:tcBorders>
              <w:top w:val="nil"/>
              <w:left w:val="single" w:sz="8" w:space="0" w:color="auto"/>
              <w:bottom w:val="single" w:sz="4" w:space="0" w:color="auto"/>
              <w:right w:val="single" w:sz="4" w:space="0" w:color="auto"/>
            </w:tcBorders>
            <w:shd w:val="clear" w:color="auto" w:fill="auto"/>
            <w:vAlign w:val="center"/>
            <w:hideMark/>
          </w:tcPr>
          <w:p w14:paraId="40CBCEF2" w14:textId="77777777" w:rsidR="001B4284" w:rsidRPr="007466EF" w:rsidRDefault="001B4284" w:rsidP="001B4284">
            <w:pPr>
              <w:rPr>
                <w:sz w:val="20"/>
                <w:szCs w:val="20"/>
              </w:rPr>
            </w:pPr>
            <w:r w:rsidRPr="007466EF">
              <w:rPr>
                <w:sz w:val="20"/>
                <w:szCs w:val="20"/>
              </w:rPr>
              <w:t>Promjene u vrijednosti financijske imovine - Dionice i udjeli u glavnici (CEB članski kapital)</w:t>
            </w:r>
          </w:p>
        </w:tc>
        <w:tc>
          <w:tcPr>
            <w:tcW w:w="1638" w:type="dxa"/>
            <w:tcBorders>
              <w:top w:val="nil"/>
              <w:left w:val="nil"/>
              <w:bottom w:val="single" w:sz="4" w:space="0" w:color="auto"/>
              <w:right w:val="single" w:sz="4" w:space="0" w:color="auto"/>
            </w:tcBorders>
            <w:shd w:val="clear" w:color="auto" w:fill="auto"/>
            <w:noWrap/>
            <w:vAlign w:val="center"/>
            <w:hideMark/>
          </w:tcPr>
          <w:p w14:paraId="65CEFE17" w14:textId="77777777" w:rsidR="001B4284" w:rsidRPr="007466EF" w:rsidRDefault="001B4284" w:rsidP="001B4284">
            <w:pPr>
              <w:jc w:val="right"/>
            </w:pPr>
            <w:r w:rsidRPr="007466EF">
              <w:t>422,00</w:t>
            </w:r>
          </w:p>
        </w:tc>
        <w:tc>
          <w:tcPr>
            <w:tcW w:w="1740" w:type="dxa"/>
            <w:tcBorders>
              <w:top w:val="nil"/>
              <w:left w:val="nil"/>
              <w:bottom w:val="single" w:sz="4" w:space="0" w:color="auto"/>
              <w:right w:val="single" w:sz="4" w:space="0" w:color="auto"/>
            </w:tcBorders>
            <w:shd w:val="clear" w:color="auto" w:fill="auto"/>
            <w:vAlign w:val="center"/>
            <w:hideMark/>
          </w:tcPr>
          <w:p w14:paraId="50F6B2F0" w14:textId="77777777" w:rsidR="001B4284" w:rsidRPr="007466EF" w:rsidRDefault="001B4284" w:rsidP="001B4284">
            <w:pPr>
              <w:jc w:val="center"/>
              <w:rPr>
                <w:sz w:val="20"/>
                <w:szCs w:val="20"/>
              </w:rPr>
            </w:pPr>
            <w:r w:rsidRPr="007466EF">
              <w:rPr>
                <w:sz w:val="20"/>
                <w:szCs w:val="20"/>
              </w:rPr>
              <w:t>smanjenje vrijednosti imovine</w:t>
            </w:r>
          </w:p>
        </w:tc>
        <w:tc>
          <w:tcPr>
            <w:tcW w:w="1780" w:type="dxa"/>
            <w:tcBorders>
              <w:top w:val="nil"/>
              <w:left w:val="nil"/>
              <w:bottom w:val="single" w:sz="4" w:space="0" w:color="auto"/>
              <w:right w:val="single" w:sz="8" w:space="0" w:color="auto"/>
            </w:tcBorders>
            <w:shd w:val="clear" w:color="auto" w:fill="auto"/>
            <w:vAlign w:val="center"/>
            <w:hideMark/>
          </w:tcPr>
          <w:p w14:paraId="233B8153" w14:textId="77777777" w:rsidR="001B4284" w:rsidRPr="007466EF" w:rsidRDefault="001B4284" w:rsidP="001B4284">
            <w:pPr>
              <w:jc w:val="center"/>
              <w:rPr>
                <w:sz w:val="20"/>
                <w:szCs w:val="20"/>
              </w:rPr>
            </w:pPr>
            <w:r w:rsidRPr="007466EF">
              <w:rPr>
                <w:sz w:val="20"/>
                <w:szCs w:val="20"/>
              </w:rPr>
              <w:t>P013</w:t>
            </w:r>
          </w:p>
        </w:tc>
      </w:tr>
      <w:tr w:rsidR="001B4284" w:rsidRPr="007466EF" w14:paraId="5209C8E7" w14:textId="77777777" w:rsidTr="001B4284">
        <w:trPr>
          <w:trHeight w:val="765"/>
          <w:jc w:val="center"/>
        </w:trPr>
        <w:tc>
          <w:tcPr>
            <w:tcW w:w="4394" w:type="dxa"/>
            <w:tcBorders>
              <w:top w:val="nil"/>
              <w:left w:val="single" w:sz="8" w:space="0" w:color="auto"/>
              <w:bottom w:val="single" w:sz="4" w:space="0" w:color="auto"/>
              <w:right w:val="single" w:sz="4" w:space="0" w:color="auto"/>
            </w:tcBorders>
            <w:shd w:val="clear" w:color="auto" w:fill="auto"/>
            <w:vAlign w:val="center"/>
            <w:hideMark/>
          </w:tcPr>
          <w:p w14:paraId="05B00F31" w14:textId="77777777" w:rsidR="001B4284" w:rsidRPr="007466EF" w:rsidRDefault="001B4284" w:rsidP="001B4284">
            <w:pPr>
              <w:rPr>
                <w:sz w:val="20"/>
                <w:szCs w:val="20"/>
              </w:rPr>
            </w:pPr>
            <w:r w:rsidRPr="007466EF">
              <w:rPr>
                <w:sz w:val="20"/>
                <w:szCs w:val="20"/>
              </w:rPr>
              <w:t xml:space="preserve">Promjena u vrijednosti financijske imovine - Dionice i udjeli u glavnici (udjeli u pravnim osobama od posebnog interesa za Republiku Hrvatsku) </w:t>
            </w:r>
          </w:p>
        </w:tc>
        <w:tc>
          <w:tcPr>
            <w:tcW w:w="1638" w:type="dxa"/>
            <w:tcBorders>
              <w:top w:val="nil"/>
              <w:left w:val="nil"/>
              <w:bottom w:val="single" w:sz="4" w:space="0" w:color="auto"/>
              <w:right w:val="single" w:sz="4" w:space="0" w:color="auto"/>
            </w:tcBorders>
            <w:shd w:val="clear" w:color="auto" w:fill="auto"/>
            <w:noWrap/>
            <w:vAlign w:val="center"/>
            <w:hideMark/>
          </w:tcPr>
          <w:p w14:paraId="4E436BC5" w14:textId="77777777" w:rsidR="001B4284" w:rsidRPr="007466EF" w:rsidRDefault="001B4284" w:rsidP="001B4284">
            <w:pPr>
              <w:jc w:val="right"/>
            </w:pPr>
            <w:r w:rsidRPr="007466EF">
              <w:t>2.331.897,23</w:t>
            </w:r>
          </w:p>
        </w:tc>
        <w:tc>
          <w:tcPr>
            <w:tcW w:w="1740" w:type="dxa"/>
            <w:tcBorders>
              <w:top w:val="nil"/>
              <w:left w:val="nil"/>
              <w:bottom w:val="single" w:sz="4" w:space="0" w:color="auto"/>
              <w:right w:val="single" w:sz="4" w:space="0" w:color="auto"/>
            </w:tcBorders>
            <w:shd w:val="clear" w:color="auto" w:fill="auto"/>
            <w:vAlign w:val="center"/>
            <w:hideMark/>
          </w:tcPr>
          <w:p w14:paraId="0B8A3B69" w14:textId="77777777" w:rsidR="001B4284" w:rsidRPr="007466EF" w:rsidRDefault="001B4284" w:rsidP="001B4284">
            <w:pPr>
              <w:jc w:val="center"/>
              <w:rPr>
                <w:sz w:val="20"/>
                <w:szCs w:val="20"/>
              </w:rPr>
            </w:pPr>
            <w:r w:rsidRPr="007466EF">
              <w:rPr>
                <w:sz w:val="20"/>
                <w:szCs w:val="20"/>
              </w:rPr>
              <w:t>povećanje vrijednosti imovine</w:t>
            </w:r>
          </w:p>
        </w:tc>
        <w:tc>
          <w:tcPr>
            <w:tcW w:w="1780" w:type="dxa"/>
            <w:tcBorders>
              <w:top w:val="nil"/>
              <w:left w:val="nil"/>
              <w:bottom w:val="single" w:sz="4" w:space="0" w:color="auto"/>
              <w:right w:val="single" w:sz="8" w:space="0" w:color="auto"/>
            </w:tcBorders>
            <w:shd w:val="clear" w:color="auto" w:fill="auto"/>
            <w:vAlign w:val="center"/>
            <w:hideMark/>
          </w:tcPr>
          <w:p w14:paraId="5115F2A0" w14:textId="77777777" w:rsidR="001B4284" w:rsidRPr="007466EF" w:rsidRDefault="001B4284" w:rsidP="001B4284">
            <w:pPr>
              <w:jc w:val="center"/>
              <w:rPr>
                <w:sz w:val="20"/>
                <w:szCs w:val="20"/>
              </w:rPr>
            </w:pPr>
            <w:r w:rsidRPr="007466EF">
              <w:rPr>
                <w:sz w:val="20"/>
                <w:szCs w:val="20"/>
              </w:rPr>
              <w:t>P013</w:t>
            </w:r>
          </w:p>
        </w:tc>
      </w:tr>
      <w:tr w:rsidR="001B4284" w:rsidRPr="007466EF" w14:paraId="17165F04" w14:textId="77777777" w:rsidTr="001B4284">
        <w:trPr>
          <w:trHeight w:val="780"/>
          <w:jc w:val="center"/>
        </w:trPr>
        <w:tc>
          <w:tcPr>
            <w:tcW w:w="4394" w:type="dxa"/>
            <w:tcBorders>
              <w:top w:val="nil"/>
              <w:left w:val="single" w:sz="8" w:space="0" w:color="auto"/>
              <w:bottom w:val="single" w:sz="8" w:space="0" w:color="auto"/>
              <w:right w:val="single" w:sz="4" w:space="0" w:color="auto"/>
            </w:tcBorders>
            <w:shd w:val="clear" w:color="auto" w:fill="auto"/>
            <w:vAlign w:val="center"/>
            <w:hideMark/>
          </w:tcPr>
          <w:p w14:paraId="5C6D2B85" w14:textId="77777777" w:rsidR="001B4284" w:rsidRPr="007466EF" w:rsidRDefault="001B4284" w:rsidP="001B4284">
            <w:pPr>
              <w:rPr>
                <w:sz w:val="20"/>
                <w:szCs w:val="20"/>
              </w:rPr>
            </w:pPr>
            <w:r w:rsidRPr="007466EF">
              <w:rPr>
                <w:sz w:val="20"/>
                <w:szCs w:val="20"/>
              </w:rPr>
              <w:t xml:space="preserve">Promjena u vrijednosti financijske imovine - Dionice i udjeli u glavnici (udjeli u pravnim osobama od posebnog interesa za Republiku Hrvatsku) </w:t>
            </w:r>
          </w:p>
        </w:tc>
        <w:tc>
          <w:tcPr>
            <w:tcW w:w="1638" w:type="dxa"/>
            <w:tcBorders>
              <w:top w:val="nil"/>
              <w:left w:val="nil"/>
              <w:bottom w:val="single" w:sz="8" w:space="0" w:color="auto"/>
              <w:right w:val="single" w:sz="4" w:space="0" w:color="auto"/>
            </w:tcBorders>
            <w:shd w:val="clear" w:color="auto" w:fill="auto"/>
            <w:noWrap/>
            <w:vAlign w:val="center"/>
            <w:hideMark/>
          </w:tcPr>
          <w:p w14:paraId="632B72D8" w14:textId="77777777" w:rsidR="001B4284" w:rsidRPr="007466EF" w:rsidRDefault="001B4284" w:rsidP="001B4284">
            <w:pPr>
              <w:jc w:val="right"/>
            </w:pPr>
            <w:r w:rsidRPr="007466EF">
              <w:t>5,71</w:t>
            </w:r>
          </w:p>
        </w:tc>
        <w:tc>
          <w:tcPr>
            <w:tcW w:w="1740" w:type="dxa"/>
            <w:tcBorders>
              <w:top w:val="nil"/>
              <w:left w:val="nil"/>
              <w:bottom w:val="single" w:sz="8" w:space="0" w:color="auto"/>
              <w:right w:val="single" w:sz="4" w:space="0" w:color="auto"/>
            </w:tcBorders>
            <w:shd w:val="clear" w:color="auto" w:fill="auto"/>
            <w:vAlign w:val="center"/>
            <w:hideMark/>
          </w:tcPr>
          <w:p w14:paraId="14E1A708" w14:textId="77777777" w:rsidR="001B4284" w:rsidRPr="007466EF" w:rsidRDefault="001B4284" w:rsidP="001B4284">
            <w:pPr>
              <w:jc w:val="center"/>
              <w:rPr>
                <w:sz w:val="20"/>
                <w:szCs w:val="20"/>
              </w:rPr>
            </w:pPr>
            <w:r w:rsidRPr="007466EF">
              <w:rPr>
                <w:sz w:val="20"/>
                <w:szCs w:val="20"/>
              </w:rPr>
              <w:t>smanjenje vrijednosti imovine</w:t>
            </w:r>
          </w:p>
        </w:tc>
        <w:tc>
          <w:tcPr>
            <w:tcW w:w="1780" w:type="dxa"/>
            <w:tcBorders>
              <w:top w:val="nil"/>
              <w:left w:val="nil"/>
              <w:bottom w:val="single" w:sz="8" w:space="0" w:color="auto"/>
              <w:right w:val="single" w:sz="8" w:space="0" w:color="auto"/>
            </w:tcBorders>
            <w:shd w:val="clear" w:color="auto" w:fill="auto"/>
            <w:vAlign w:val="center"/>
            <w:hideMark/>
          </w:tcPr>
          <w:p w14:paraId="2FD19A3A" w14:textId="77777777" w:rsidR="001B4284" w:rsidRPr="007466EF" w:rsidRDefault="001B4284" w:rsidP="001B4284">
            <w:pPr>
              <w:jc w:val="center"/>
              <w:rPr>
                <w:sz w:val="20"/>
                <w:szCs w:val="20"/>
              </w:rPr>
            </w:pPr>
            <w:r w:rsidRPr="007466EF">
              <w:rPr>
                <w:sz w:val="20"/>
                <w:szCs w:val="20"/>
              </w:rPr>
              <w:t>P013</w:t>
            </w:r>
          </w:p>
        </w:tc>
      </w:tr>
    </w:tbl>
    <w:p w14:paraId="51A4F353" w14:textId="40178B26" w:rsidR="001B4284" w:rsidRPr="007466EF" w:rsidRDefault="001B4284" w:rsidP="00864F97">
      <w:pPr>
        <w:jc w:val="both"/>
      </w:pPr>
    </w:p>
    <w:p w14:paraId="6241FC08" w14:textId="77777777" w:rsidR="001B4284" w:rsidRPr="007466EF" w:rsidRDefault="001B4284" w:rsidP="00864F97">
      <w:pPr>
        <w:jc w:val="both"/>
      </w:pPr>
    </w:p>
    <w:p w14:paraId="6DAA43BD" w14:textId="475BCF49" w:rsidR="00864F97" w:rsidRPr="007466EF" w:rsidRDefault="00864F97" w:rsidP="00864F97"/>
    <w:p w14:paraId="37F5A30B" w14:textId="77777777" w:rsidR="00864F97" w:rsidRPr="007466EF" w:rsidRDefault="00864F97" w:rsidP="00864F97">
      <w:pPr>
        <w:jc w:val="center"/>
        <w:outlineLvl w:val="0"/>
        <w:rPr>
          <w:b/>
          <w:bCs/>
          <w:sz w:val="28"/>
        </w:rPr>
      </w:pPr>
      <w:r w:rsidRPr="007466EF">
        <w:br w:type="page"/>
      </w:r>
      <w:r w:rsidRPr="007466EF">
        <w:rPr>
          <w:b/>
          <w:bCs/>
          <w:sz w:val="28"/>
        </w:rPr>
        <w:lastRenderedPageBreak/>
        <w:t>BILJEŠKE UZ IZVJEŠTAJ O RASHODIMA PREMA FUNKCIJSKOJ KLASIFIKACIJI</w:t>
      </w:r>
    </w:p>
    <w:p w14:paraId="657CC0B9" w14:textId="77777777" w:rsidR="00864F97" w:rsidRPr="007466EF" w:rsidRDefault="00864F97" w:rsidP="00864F97">
      <w:pPr>
        <w:jc w:val="both"/>
      </w:pPr>
    </w:p>
    <w:p w14:paraId="7DFA7057" w14:textId="77777777" w:rsidR="00864F97" w:rsidRPr="007466EF" w:rsidRDefault="00864F97" w:rsidP="00864F97">
      <w:pPr>
        <w:jc w:val="center"/>
        <w:rPr>
          <w:sz w:val="28"/>
          <w:szCs w:val="28"/>
        </w:rPr>
      </w:pPr>
      <w:r w:rsidRPr="007466EF">
        <w:rPr>
          <w:sz w:val="28"/>
          <w:szCs w:val="28"/>
        </w:rPr>
        <w:t xml:space="preserve">Bilješka 1. </w:t>
      </w:r>
    </w:p>
    <w:p w14:paraId="0BB4B278" w14:textId="77777777" w:rsidR="00864F97" w:rsidRPr="007466EF" w:rsidRDefault="00864F97" w:rsidP="00864F97">
      <w:pPr>
        <w:jc w:val="both"/>
      </w:pPr>
      <w:r w:rsidRPr="007466EF">
        <w:t>U Obrascu RAS-funkcijski iskazani su rashodi razreda 3 i 4 prema funkcijama za koje su utrošeni.</w:t>
      </w:r>
    </w:p>
    <w:p w14:paraId="2E2F589F" w14:textId="77777777" w:rsidR="00864F97" w:rsidRPr="007466EF" w:rsidRDefault="00864F97" w:rsidP="00864F97">
      <w:pPr>
        <w:jc w:val="both"/>
        <w:rPr>
          <w:b/>
          <w:bCs/>
        </w:rPr>
      </w:pPr>
    </w:p>
    <w:p w14:paraId="696799FC" w14:textId="77777777" w:rsidR="00864F97" w:rsidRPr="007466EF" w:rsidRDefault="00864F97" w:rsidP="00864F97">
      <w:pPr>
        <w:jc w:val="both"/>
      </w:pPr>
      <w:r w:rsidRPr="007466EF">
        <w:t xml:space="preserve">Iznosi navedeni u Obrascu RAS-funkcijski odgovaraju ukupno iskazanim rashodima u Obrascu PR-RAS na šifri </w:t>
      </w:r>
      <w:r w:rsidRPr="007466EF">
        <w:rPr>
          <w:i/>
        </w:rPr>
        <w:t>3</w:t>
      </w:r>
      <w:r w:rsidRPr="007466EF">
        <w:t xml:space="preserve"> </w:t>
      </w:r>
      <w:r w:rsidRPr="007466EF">
        <w:rPr>
          <w:i/>
        </w:rPr>
        <w:t>Rashodi poslovanja</w:t>
      </w:r>
      <w:r w:rsidRPr="007466EF">
        <w:t xml:space="preserve">, umanjenom za iznos na šifri </w:t>
      </w:r>
      <w:r w:rsidRPr="007466EF">
        <w:rPr>
          <w:i/>
        </w:rPr>
        <w:t>367 Prijenosi proračunskim korisnicima iz nadležnog proračuna za financiranje redovne djelatnosti</w:t>
      </w:r>
      <w:r w:rsidRPr="007466EF">
        <w:t xml:space="preserve">, i šifri </w:t>
      </w:r>
      <w:r w:rsidRPr="007466EF">
        <w:rPr>
          <w:i/>
        </w:rPr>
        <w:t>4 Rashodi za nabavu nefinancijske imovine</w:t>
      </w:r>
      <w:r w:rsidRPr="007466EF">
        <w:t xml:space="preserve">. Iznos rashoda državnog proračuna iskazan u okviru podskupine 367 </w:t>
      </w:r>
      <w:r w:rsidRPr="007466EF">
        <w:rPr>
          <w:i/>
        </w:rPr>
        <w:t>Prijenosi proračunskim korisnicima iz nadležnog proračuna za financiranje redovne djelatnosti</w:t>
      </w:r>
      <w:r w:rsidRPr="007466EF">
        <w:t xml:space="preserve"> ne iskazuje se u Izvještaju o rashodima prema funkcijskoj klasifikaciji državnog proračuna s obzirom na to da je iskazan u izvještajima proračunskih korisnika o rashodima prema funkcijskoj klasifikaciji.</w:t>
      </w:r>
    </w:p>
    <w:p w14:paraId="468B4AAA" w14:textId="77777777" w:rsidR="00864F97" w:rsidRPr="007466EF" w:rsidRDefault="00864F97" w:rsidP="00864F97">
      <w:pPr>
        <w:jc w:val="both"/>
      </w:pPr>
    </w:p>
    <w:p w14:paraId="68BC27BC" w14:textId="77777777" w:rsidR="00864F97" w:rsidRPr="007466EF" w:rsidRDefault="00864F97" w:rsidP="00864F97">
      <w:pPr>
        <w:jc w:val="both"/>
      </w:pPr>
    </w:p>
    <w:p w14:paraId="154D382F" w14:textId="77777777" w:rsidR="00864F97" w:rsidRPr="007466EF" w:rsidRDefault="00864F97" w:rsidP="00864F97">
      <w:pPr>
        <w:jc w:val="both"/>
      </w:pPr>
    </w:p>
    <w:p w14:paraId="4E71113B" w14:textId="77777777" w:rsidR="00864F97" w:rsidRPr="007466EF" w:rsidRDefault="00864F97" w:rsidP="00864F97">
      <w:pPr>
        <w:jc w:val="both"/>
      </w:pPr>
    </w:p>
    <w:p w14:paraId="62AEDA13" w14:textId="77777777" w:rsidR="00864F97" w:rsidRPr="007466EF" w:rsidRDefault="00864F97" w:rsidP="00864F97">
      <w:pPr>
        <w:jc w:val="both"/>
      </w:pPr>
    </w:p>
    <w:p w14:paraId="68F0FC57" w14:textId="77777777" w:rsidR="00864F97" w:rsidRPr="007466EF" w:rsidRDefault="00864F97" w:rsidP="00864F97">
      <w:pPr>
        <w:jc w:val="both"/>
      </w:pPr>
    </w:p>
    <w:p w14:paraId="000D95F6" w14:textId="77777777" w:rsidR="00864F97" w:rsidRPr="007466EF" w:rsidRDefault="00864F97" w:rsidP="00864F97">
      <w:pPr>
        <w:jc w:val="both"/>
      </w:pPr>
    </w:p>
    <w:p w14:paraId="243EB79D" w14:textId="77777777" w:rsidR="00864F97" w:rsidRPr="007466EF" w:rsidRDefault="00864F97" w:rsidP="00864F97">
      <w:pPr>
        <w:jc w:val="both"/>
      </w:pPr>
    </w:p>
    <w:p w14:paraId="1516D330" w14:textId="77777777" w:rsidR="00864F97" w:rsidRPr="007466EF" w:rsidRDefault="00864F97" w:rsidP="00864F97">
      <w:pPr>
        <w:jc w:val="both"/>
      </w:pPr>
    </w:p>
    <w:p w14:paraId="27B08EB0" w14:textId="77777777" w:rsidR="00864F97" w:rsidRPr="007466EF" w:rsidRDefault="00864F97" w:rsidP="00864F97">
      <w:pPr>
        <w:jc w:val="both"/>
      </w:pPr>
    </w:p>
    <w:p w14:paraId="3B5EBCE5" w14:textId="77777777" w:rsidR="00864F97" w:rsidRPr="007466EF" w:rsidRDefault="00864F97" w:rsidP="00864F97">
      <w:pPr>
        <w:jc w:val="both"/>
      </w:pPr>
    </w:p>
    <w:p w14:paraId="3C81778E" w14:textId="77777777" w:rsidR="00864F97" w:rsidRPr="007466EF" w:rsidRDefault="00864F97" w:rsidP="00864F97">
      <w:pPr>
        <w:jc w:val="both"/>
      </w:pPr>
    </w:p>
    <w:p w14:paraId="4DD45EAC" w14:textId="77777777" w:rsidR="00864F97" w:rsidRPr="007466EF" w:rsidRDefault="00864F97" w:rsidP="00864F97">
      <w:pPr>
        <w:jc w:val="both"/>
      </w:pPr>
    </w:p>
    <w:p w14:paraId="6740CF63" w14:textId="77777777" w:rsidR="00864F97" w:rsidRPr="007466EF" w:rsidRDefault="00864F97" w:rsidP="00864F97">
      <w:pPr>
        <w:jc w:val="both"/>
      </w:pPr>
    </w:p>
    <w:p w14:paraId="3C61002D" w14:textId="77777777" w:rsidR="00864F97" w:rsidRPr="007466EF" w:rsidRDefault="00864F97" w:rsidP="00864F97">
      <w:pPr>
        <w:jc w:val="both"/>
      </w:pPr>
    </w:p>
    <w:p w14:paraId="705097CF" w14:textId="77777777" w:rsidR="00864F97" w:rsidRPr="007466EF" w:rsidRDefault="00864F97" w:rsidP="00864F97">
      <w:pPr>
        <w:jc w:val="both"/>
      </w:pPr>
    </w:p>
    <w:p w14:paraId="5EDCDBC1" w14:textId="77777777" w:rsidR="00864F97" w:rsidRPr="007466EF" w:rsidRDefault="00864F97" w:rsidP="00864F97">
      <w:pPr>
        <w:jc w:val="both"/>
      </w:pPr>
    </w:p>
    <w:p w14:paraId="59E7692F" w14:textId="77777777" w:rsidR="00864F97" w:rsidRPr="007466EF" w:rsidRDefault="00864F97" w:rsidP="00864F97">
      <w:pPr>
        <w:jc w:val="both"/>
      </w:pPr>
    </w:p>
    <w:p w14:paraId="1DBB0366" w14:textId="77777777" w:rsidR="00864F97" w:rsidRPr="007466EF" w:rsidRDefault="00864F97" w:rsidP="00864F97">
      <w:pPr>
        <w:jc w:val="both"/>
      </w:pPr>
    </w:p>
    <w:p w14:paraId="2A7E12EF" w14:textId="77777777" w:rsidR="00864F97" w:rsidRPr="007466EF" w:rsidRDefault="00864F97" w:rsidP="00864F97">
      <w:pPr>
        <w:jc w:val="both"/>
      </w:pPr>
    </w:p>
    <w:p w14:paraId="41A91B1D" w14:textId="77777777" w:rsidR="00864F97" w:rsidRPr="007466EF" w:rsidRDefault="00864F97" w:rsidP="00864F97">
      <w:pPr>
        <w:jc w:val="both"/>
      </w:pPr>
    </w:p>
    <w:p w14:paraId="0F81FB88" w14:textId="77777777" w:rsidR="00864F97" w:rsidRPr="007466EF" w:rsidRDefault="00864F97" w:rsidP="00864F97">
      <w:pPr>
        <w:jc w:val="both"/>
      </w:pPr>
    </w:p>
    <w:p w14:paraId="089B5BA3" w14:textId="5C1C5417" w:rsidR="00864F97" w:rsidRPr="007466EF" w:rsidRDefault="00864F97" w:rsidP="00864F97">
      <w:pPr>
        <w:jc w:val="both"/>
      </w:pPr>
      <w:r w:rsidRPr="007466EF">
        <w:t xml:space="preserve">U Zagrebu, 28. veljače </w:t>
      </w:r>
      <w:r w:rsidR="001B4284" w:rsidRPr="007466EF">
        <w:t>2024</w:t>
      </w:r>
      <w:r w:rsidRPr="007466EF">
        <w:t>.</w:t>
      </w:r>
    </w:p>
    <w:p w14:paraId="4B173DC7" w14:textId="77777777" w:rsidR="00864F97" w:rsidRPr="007466EF" w:rsidRDefault="00864F97" w:rsidP="00864F97">
      <w:pPr>
        <w:jc w:val="both"/>
      </w:pPr>
    </w:p>
    <w:p w14:paraId="55A9D2A9" w14:textId="77777777" w:rsidR="00864F97" w:rsidRPr="007466EF" w:rsidRDefault="00864F97" w:rsidP="00864F97">
      <w:pPr>
        <w:jc w:val="both"/>
      </w:pPr>
      <w:r w:rsidRPr="007466EF">
        <w:t>Osoba za kontakt: Martina Štefković</w:t>
      </w:r>
    </w:p>
    <w:p w14:paraId="6F036F4A" w14:textId="77777777" w:rsidR="00864F97" w:rsidRPr="007466EF" w:rsidRDefault="00864F97" w:rsidP="00864F97">
      <w:pPr>
        <w:jc w:val="both"/>
      </w:pPr>
      <w:r w:rsidRPr="007466EF">
        <w:t>Telefon: 01/ 4591-196</w:t>
      </w:r>
    </w:p>
    <w:p w14:paraId="71D1582D" w14:textId="77777777" w:rsidR="00864F97" w:rsidRPr="007466EF" w:rsidRDefault="00864F97" w:rsidP="00864F97">
      <w:pPr>
        <w:jc w:val="both"/>
      </w:pPr>
    </w:p>
    <w:p w14:paraId="60400391" w14:textId="77777777" w:rsidR="007B588A" w:rsidRPr="002D68F5" w:rsidRDefault="007B588A" w:rsidP="007B588A">
      <w:pPr>
        <w:ind w:left="2832" w:firstLine="3"/>
        <w:jc w:val="center"/>
        <w:rPr>
          <w:b/>
        </w:rPr>
      </w:pPr>
      <w:r>
        <w:rPr>
          <w:b/>
        </w:rPr>
        <w:t xml:space="preserve">POTPREDSJEDNIK VLADE REPUBLIKE HRVATSKE I </w:t>
      </w:r>
      <w:r w:rsidRPr="002D68F5">
        <w:rPr>
          <w:b/>
        </w:rPr>
        <w:t>MINISTAR FINANCIJA</w:t>
      </w:r>
    </w:p>
    <w:p w14:paraId="69D81D82" w14:textId="77777777" w:rsidR="00864F97" w:rsidRPr="007466EF" w:rsidRDefault="00864F97" w:rsidP="00864F97">
      <w:pPr>
        <w:jc w:val="center"/>
        <w:rPr>
          <w:sz w:val="28"/>
          <w:szCs w:val="28"/>
        </w:rPr>
      </w:pPr>
    </w:p>
    <w:p w14:paraId="22F0ECAE" w14:textId="77777777" w:rsidR="00864F97" w:rsidRPr="007466EF" w:rsidRDefault="00864F97" w:rsidP="00864F97">
      <w:pPr>
        <w:rPr>
          <w:sz w:val="28"/>
          <w:szCs w:val="28"/>
        </w:rPr>
      </w:pPr>
    </w:p>
    <w:p w14:paraId="0FB48AA2" w14:textId="77777777" w:rsidR="00864F97" w:rsidRPr="00293F62" w:rsidRDefault="00864F97" w:rsidP="007B588A">
      <w:pPr>
        <w:ind w:left="4253" w:hanging="1559"/>
        <w:jc w:val="center"/>
        <w:rPr>
          <w:szCs w:val="20"/>
        </w:rPr>
      </w:pPr>
      <w:r w:rsidRPr="007466EF">
        <w:rPr>
          <w:b/>
        </w:rPr>
        <w:t xml:space="preserve">dr. </w:t>
      </w:r>
      <w:proofErr w:type="spellStart"/>
      <w:r w:rsidRPr="007466EF">
        <w:rPr>
          <w:b/>
        </w:rPr>
        <w:t>sc</w:t>
      </w:r>
      <w:proofErr w:type="spellEnd"/>
      <w:r w:rsidRPr="007466EF">
        <w:rPr>
          <w:b/>
        </w:rPr>
        <w:t>. Marko Primorac</w:t>
      </w:r>
    </w:p>
    <w:p w14:paraId="1C371DE7" w14:textId="77777777" w:rsidR="00BE2EE6" w:rsidRDefault="00BE2EE6"/>
    <w:sectPr w:rsidR="00BE2EE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Martina Štefković" w:date="2025-03-31T08:50:00Z" w:initials="MŠ">
    <w:p w14:paraId="31226002" w14:textId="7CDE5547" w:rsidR="005D3947" w:rsidRDefault="005D3947">
      <w:pPr>
        <w:pStyle w:val="Tekstkomentara"/>
      </w:pPr>
      <w:r>
        <w:rPr>
          <w:rStyle w:val="Referencakomentara"/>
        </w:rPr>
        <w:annotationRef/>
      </w:r>
      <w:r>
        <w:t>Tamara naknadno javila da ovo nije točno, trebalo</w:t>
      </w:r>
      <w:bookmarkStart w:id="4" w:name="_GoBack"/>
      <w:bookmarkEnd w:id="4"/>
      <w:r>
        <w:t xml:space="preserve"> je pisati Hrvatske vode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22600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92F75" w14:textId="77777777" w:rsidR="00354D2D" w:rsidRDefault="00354D2D" w:rsidP="007466EF">
      <w:r>
        <w:separator/>
      </w:r>
    </w:p>
  </w:endnote>
  <w:endnote w:type="continuationSeparator" w:id="0">
    <w:p w14:paraId="34A72B9C" w14:textId="77777777" w:rsidR="00354D2D" w:rsidRDefault="00354D2D" w:rsidP="0074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611168"/>
      <w:docPartObj>
        <w:docPartGallery w:val="Page Numbers (Bottom of Page)"/>
        <w:docPartUnique/>
      </w:docPartObj>
    </w:sdtPr>
    <w:sdtEndPr/>
    <w:sdtContent>
      <w:p w14:paraId="410A813D" w14:textId="7F525792" w:rsidR="00354D2D" w:rsidRDefault="00354D2D">
        <w:pPr>
          <w:pStyle w:val="Podnoje"/>
          <w:jc w:val="right"/>
        </w:pPr>
        <w:r>
          <w:fldChar w:fldCharType="begin"/>
        </w:r>
        <w:r>
          <w:instrText>PAGE   \* MERGEFORMAT</w:instrText>
        </w:r>
        <w:r>
          <w:fldChar w:fldCharType="separate"/>
        </w:r>
        <w:r w:rsidR="005D3947">
          <w:rPr>
            <w:noProof/>
          </w:rPr>
          <w:t>21</w:t>
        </w:r>
        <w:r>
          <w:fldChar w:fldCharType="end"/>
        </w:r>
      </w:p>
    </w:sdtContent>
  </w:sdt>
  <w:p w14:paraId="39B26B62" w14:textId="77777777" w:rsidR="00354D2D" w:rsidRDefault="00354D2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BA5CE" w14:textId="77777777" w:rsidR="00354D2D" w:rsidRDefault="00354D2D" w:rsidP="007466EF">
      <w:r>
        <w:separator/>
      </w:r>
    </w:p>
  </w:footnote>
  <w:footnote w:type="continuationSeparator" w:id="0">
    <w:p w14:paraId="3065481F" w14:textId="77777777" w:rsidR="00354D2D" w:rsidRDefault="00354D2D" w:rsidP="00746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5B8"/>
    <w:multiLevelType w:val="hybridMultilevel"/>
    <w:tmpl w:val="9D08C8CA"/>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A423B"/>
    <w:multiLevelType w:val="hybridMultilevel"/>
    <w:tmpl w:val="18E8F1F4"/>
    <w:lvl w:ilvl="0" w:tplc="B1E8A1E2">
      <w:start w:val="1"/>
      <w:numFmt w:val="bullet"/>
      <w:lvlText w:val=""/>
      <w:lvlJc w:val="left"/>
      <w:pPr>
        <w:ind w:left="720" w:hanging="360"/>
      </w:pPr>
      <w:rPr>
        <w:rFonts w:ascii="Symbol" w:hAnsi="Symbol"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890FE1"/>
    <w:multiLevelType w:val="hybridMultilevel"/>
    <w:tmpl w:val="47C4BE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4EE23E0"/>
    <w:multiLevelType w:val="hybridMultilevel"/>
    <w:tmpl w:val="E6BA18EC"/>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170972DB"/>
    <w:multiLevelType w:val="hybridMultilevel"/>
    <w:tmpl w:val="216A3B8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80728"/>
    <w:multiLevelType w:val="hybridMultilevel"/>
    <w:tmpl w:val="57BC2940"/>
    <w:lvl w:ilvl="0" w:tplc="B1E8A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AED07BD"/>
    <w:multiLevelType w:val="hybridMultilevel"/>
    <w:tmpl w:val="052EF0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CA778A"/>
    <w:multiLevelType w:val="hybridMultilevel"/>
    <w:tmpl w:val="57246F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723C0C"/>
    <w:multiLevelType w:val="hybridMultilevel"/>
    <w:tmpl w:val="9B104CAA"/>
    <w:lvl w:ilvl="0" w:tplc="B1E8A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E385F3D"/>
    <w:multiLevelType w:val="hybridMultilevel"/>
    <w:tmpl w:val="F9CA4F48"/>
    <w:lvl w:ilvl="0" w:tplc="B1E8A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53A210C"/>
    <w:multiLevelType w:val="hybridMultilevel"/>
    <w:tmpl w:val="01B0F57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84859B7"/>
    <w:multiLevelType w:val="hybridMultilevel"/>
    <w:tmpl w:val="7F96164C"/>
    <w:lvl w:ilvl="0" w:tplc="3392EF14">
      <w:start w:val="6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D5764B7"/>
    <w:multiLevelType w:val="hybridMultilevel"/>
    <w:tmpl w:val="388E2838"/>
    <w:lvl w:ilvl="0" w:tplc="8362ACA2">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3" w15:restartNumberingAfterBreak="0">
    <w:nsid w:val="3F931F7E"/>
    <w:multiLevelType w:val="hybridMultilevel"/>
    <w:tmpl w:val="5B121FA0"/>
    <w:lvl w:ilvl="0" w:tplc="96AE1794">
      <w:start w:val="1"/>
      <w:numFmt w:val="bullet"/>
      <w:lvlText w:val=""/>
      <w:lvlJc w:val="left"/>
      <w:pPr>
        <w:ind w:left="720" w:hanging="360"/>
      </w:pPr>
      <w:rPr>
        <w:rFonts w:ascii="Symbol" w:hAnsi="Symbol"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02B7E65"/>
    <w:multiLevelType w:val="hybridMultilevel"/>
    <w:tmpl w:val="7CA2C5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09B443C"/>
    <w:multiLevelType w:val="hybridMultilevel"/>
    <w:tmpl w:val="C4407B12"/>
    <w:lvl w:ilvl="0" w:tplc="B1E8A1E2">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972237"/>
    <w:multiLevelType w:val="hybridMultilevel"/>
    <w:tmpl w:val="A48644B6"/>
    <w:lvl w:ilvl="0" w:tplc="5C8250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4997147"/>
    <w:multiLevelType w:val="hybridMultilevel"/>
    <w:tmpl w:val="F8265C44"/>
    <w:lvl w:ilvl="0" w:tplc="B1E8A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9685016"/>
    <w:multiLevelType w:val="hybridMultilevel"/>
    <w:tmpl w:val="55F62362"/>
    <w:lvl w:ilvl="0" w:tplc="B1E8A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D167745"/>
    <w:multiLevelType w:val="hybridMultilevel"/>
    <w:tmpl w:val="D4BA8066"/>
    <w:lvl w:ilvl="0" w:tplc="B1E8A1E2">
      <w:start w:val="1"/>
      <w:numFmt w:val="bullet"/>
      <w:lvlText w:val=""/>
      <w:lvlJc w:val="left"/>
      <w:pPr>
        <w:ind w:left="778" w:hanging="360"/>
      </w:pPr>
      <w:rPr>
        <w:rFonts w:ascii="Symbol" w:hAnsi="Symbo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20" w15:restartNumberingAfterBreak="0">
    <w:nsid w:val="4D94602D"/>
    <w:multiLevelType w:val="hybridMultilevel"/>
    <w:tmpl w:val="DFA6A798"/>
    <w:lvl w:ilvl="0" w:tplc="B1E8A1E2">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5A1785"/>
    <w:multiLevelType w:val="hybridMultilevel"/>
    <w:tmpl w:val="F29A98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B20BF"/>
    <w:multiLevelType w:val="hybridMultilevel"/>
    <w:tmpl w:val="1FAEB2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AC579EF"/>
    <w:multiLevelType w:val="hybridMultilevel"/>
    <w:tmpl w:val="3F6676C0"/>
    <w:lvl w:ilvl="0" w:tplc="B1E8A1E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62F9243C"/>
    <w:multiLevelType w:val="hybridMultilevel"/>
    <w:tmpl w:val="96CCB43A"/>
    <w:lvl w:ilvl="0" w:tplc="8E3E824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E200E7D"/>
    <w:multiLevelType w:val="hybridMultilevel"/>
    <w:tmpl w:val="E33883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F666F73"/>
    <w:multiLevelType w:val="hybridMultilevel"/>
    <w:tmpl w:val="A7F00E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5382939"/>
    <w:multiLevelType w:val="hybridMultilevel"/>
    <w:tmpl w:val="2EFE4D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BFA05F6"/>
    <w:multiLevelType w:val="hybridMultilevel"/>
    <w:tmpl w:val="B45221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D7D7588"/>
    <w:multiLevelType w:val="hybridMultilevel"/>
    <w:tmpl w:val="4736427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7FE25610"/>
    <w:multiLevelType w:val="hybridMultilevel"/>
    <w:tmpl w:val="07EC43D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24"/>
  </w:num>
  <w:num w:numId="4">
    <w:abstractNumId w:val="18"/>
  </w:num>
  <w:num w:numId="5">
    <w:abstractNumId w:val="6"/>
  </w:num>
  <w:num w:numId="6">
    <w:abstractNumId w:val="11"/>
  </w:num>
  <w:num w:numId="7">
    <w:abstractNumId w:val="30"/>
  </w:num>
  <w:num w:numId="8">
    <w:abstractNumId w:val="0"/>
  </w:num>
  <w:num w:numId="9">
    <w:abstractNumId w:val="4"/>
  </w:num>
  <w:num w:numId="10">
    <w:abstractNumId w:val="2"/>
  </w:num>
  <w:num w:numId="11">
    <w:abstractNumId w:val="28"/>
  </w:num>
  <w:num w:numId="12">
    <w:abstractNumId w:val="10"/>
  </w:num>
  <w:num w:numId="13">
    <w:abstractNumId w:val="27"/>
  </w:num>
  <w:num w:numId="14">
    <w:abstractNumId w:val="29"/>
  </w:num>
  <w:num w:numId="15">
    <w:abstractNumId w:val="13"/>
  </w:num>
  <w:num w:numId="16">
    <w:abstractNumId w:val="3"/>
  </w:num>
  <w:num w:numId="17">
    <w:abstractNumId w:val="25"/>
  </w:num>
  <w:num w:numId="18">
    <w:abstractNumId w:val="12"/>
  </w:num>
  <w:num w:numId="19">
    <w:abstractNumId w:val="26"/>
  </w:num>
  <w:num w:numId="20">
    <w:abstractNumId w:val="8"/>
  </w:num>
  <w:num w:numId="21">
    <w:abstractNumId w:val="14"/>
  </w:num>
  <w:num w:numId="22">
    <w:abstractNumId w:val="16"/>
  </w:num>
  <w:num w:numId="23">
    <w:abstractNumId w:val="7"/>
  </w:num>
  <w:num w:numId="24">
    <w:abstractNumId w:val="19"/>
  </w:num>
  <w:num w:numId="25">
    <w:abstractNumId w:val="5"/>
  </w:num>
  <w:num w:numId="26">
    <w:abstractNumId w:val="15"/>
  </w:num>
  <w:num w:numId="27">
    <w:abstractNumId w:val="9"/>
  </w:num>
  <w:num w:numId="28">
    <w:abstractNumId w:val="1"/>
  </w:num>
  <w:num w:numId="29">
    <w:abstractNumId w:val="20"/>
  </w:num>
  <w:num w:numId="30">
    <w:abstractNumId w:val="23"/>
  </w:num>
  <w:num w:numId="31">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Štefković">
    <w15:presenceInfo w15:providerId="AD" w15:userId="S-1-5-21-2051559354-425281599-860360866-19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97"/>
    <w:rsid w:val="00013419"/>
    <w:rsid w:val="00024422"/>
    <w:rsid w:val="000278C5"/>
    <w:rsid w:val="00055EAE"/>
    <w:rsid w:val="00086917"/>
    <w:rsid w:val="00086925"/>
    <w:rsid w:val="00092890"/>
    <w:rsid w:val="000B5FBC"/>
    <w:rsid w:val="000F0658"/>
    <w:rsid w:val="000F0D22"/>
    <w:rsid w:val="001079A3"/>
    <w:rsid w:val="00113812"/>
    <w:rsid w:val="00124F22"/>
    <w:rsid w:val="0013577D"/>
    <w:rsid w:val="00194999"/>
    <w:rsid w:val="001B38F2"/>
    <w:rsid w:val="001B4284"/>
    <w:rsid w:val="001E3ED7"/>
    <w:rsid w:val="001F1B16"/>
    <w:rsid w:val="00206C60"/>
    <w:rsid w:val="0021323C"/>
    <w:rsid w:val="0021390B"/>
    <w:rsid w:val="00215720"/>
    <w:rsid w:val="00237122"/>
    <w:rsid w:val="00240F31"/>
    <w:rsid w:val="002460F3"/>
    <w:rsid w:val="002A229E"/>
    <w:rsid w:val="002D126F"/>
    <w:rsid w:val="002F0CE3"/>
    <w:rsid w:val="003044CD"/>
    <w:rsid w:val="00312DF9"/>
    <w:rsid w:val="00320BA2"/>
    <w:rsid w:val="0033182F"/>
    <w:rsid w:val="00334506"/>
    <w:rsid w:val="003526EB"/>
    <w:rsid w:val="00354D2D"/>
    <w:rsid w:val="003711B4"/>
    <w:rsid w:val="003A2206"/>
    <w:rsid w:val="003A519C"/>
    <w:rsid w:val="003D4DEB"/>
    <w:rsid w:val="003F4499"/>
    <w:rsid w:val="004126AD"/>
    <w:rsid w:val="00455D43"/>
    <w:rsid w:val="004806FC"/>
    <w:rsid w:val="00481837"/>
    <w:rsid w:val="004A67E8"/>
    <w:rsid w:val="004E3ECF"/>
    <w:rsid w:val="004F0002"/>
    <w:rsid w:val="00520E26"/>
    <w:rsid w:val="00521317"/>
    <w:rsid w:val="005252FF"/>
    <w:rsid w:val="00536C81"/>
    <w:rsid w:val="00553092"/>
    <w:rsid w:val="00562444"/>
    <w:rsid w:val="00572C02"/>
    <w:rsid w:val="0059051C"/>
    <w:rsid w:val="005A0E37"/>
    <w:rsid w:val="005A1E4C"/>
    <w:rsid w:val="005B035B"/>
    <w:rsid w:val="005B0C48"/>
    <w:rsid w:val="005D2FF1"/>
    <w:rsid w:val="005D3947"/>
    <w:rsid w:val="005F16BC"/>
    <w:rsid w:val="005F47C8"/>
    <w:rsid w:val="006153D2"/>
    <w:rsid w:val="006167CC"/>
    <w:rsid w:val="00620B1F"/>
    <w:rsid w:val="0062560F"/>
    <w:rsid w:val="00662D87"/>
    <w:rsid w:val="006762CD"/>
    <w:rsid w:val="006A04DC"/>
    <w:rsid w:val="006C337B"/>
    <w:rsid w:val="006D1EBD"/>
    <w:rsid w:val="006D30BA"/>
    <w:rsid w:val="006E2514"/>
    <w:rsid w:val="0072041E"/>
    <w:rsid w:val="007466EF"/>
    <w:rsid w:val="007523EA"/>
    <w:rsid w:val="0075783E"/>
    <w:rsid w:val="007603B1"/>
    <w:rsid w:val="007968C5"/>
    <w:rsid w:val="007A5EA2"/>
    <w:rsid w:val="007B0F7F"/>
    <w:rsid w:val="007B2224"/>
    <w:rsid w:val="007B3E95"/>
    <w:rsid w:val="007B588A"/>
    <w:rsid w:val="007C28B7"/>
    <w:rsid w:val="007E0C78"/>
    <w:rsid w:val="007E5D3D"/>
    <w:rsid w:val="007F3FED"/>
    <w:rsid w:val="00807836"/>
    <w:rsid w:val="00815E48"/>
    <w:rsid w:val="0083275B"/>
    <w:rsid w:val="00834692"/>
    <w:rsid w:val="0084616F"/>
    <w:rsid w:val="008628B3"/>
    <w:rsid w:val="00862E19"/>
    <w:rsid w:val="00864F97"/>
    <w:rsid w:val="00872B52"/>
    <w:rsid w:val="008825EB"/>
    <w:rsid w:val="0089501B"/>
    <w:rsid w:val="008B10C3"/>
    <w:rsid w:val="008C1ACE"/>
    <w:rsid w:val="008E645A"/>
    <w:rsid w:val="008F2DAF"/>
    <w:rsid w:val="008F6B8F"/>
    <w:rsid w:val="008F6FCF"/>
    <w:rsid w:val="009157C2"/>
    <w:rsid w:val="009312C1"/>
    <w:rsid w:val="00985C57"/>
    <w:rsid w:val="009B5E55"/>
    <w:rsid w:val="009C05D6"/>
    <w:rsid w:val="00A235B5"/>
    <w:rsid w:val="00A34AB1"/>
    <w:rsid w:val="00A554D9"/>
    <w:rsid w:val="00A66669"/>
    <w:rsid w:val="00A75135"/>
    <w:rsid w:val="00A75440"/>
    <w:rsid w:val="00A92415"/>
    <w:rsid w:val="00AA2766"/>
    <w:rsid w:val="00AC385C"/>
    <w:rsid w:val="00AE39F6"/>
    <w:rsid w:val="00B136BA"/>
    <w:rsid w:val="00B1410F"/>
    <w:rsid w:val="00B21B45"/>
    <w:rsid w:val="00B22163"/>
    <w:rsid w:val="00B300EE"/>
    <w:rsid w:val="00B45121"/>
    <w:rsid w:val="00B71610"/>
    <w:rsid w:val="00B725E7"/>
    <w:rsid w:val="00B726B1"/>
    <w:rsid w:val="00B72902"/>
    <w:rsid w:val="00B80BFC"/>
    <w:rsid w:val="00B9164A"/>
    <w:rsid w:val="00BC1660"/>
    <w:rsid w:val="00BC4F68"/>
    <w:rsid w:val="00BE26ED"/>
    <w:rsid w:val="00BE2EE6"/>
    <w:rsid w:val="00C3176A"/>
    <w:rsid w:val="00C40D2A"/>
    <w:rsid w:val="00C45823"/>
    <w:rsid w:val="00C45DDE"/>
    <w:rsid w:val="00C5435E"/>
    <w:rsid w:val="00C57E02"/>
    <w:rsid w:val="00C726E4"/>
    <w:rsid w:val="00C82F65"/>
    <w:rsid w:val="00C9555C"/>
    <w:rsid w:val="00CA5681"/>
    <w:rsid w:val="00CD696B"/>
    <w:rsid w:val="00CF67C0"/>
    <w:rsid w:val="00D058BB"/>
    <w:rsid w:val="00D415B5"/>
    <w:rsid w:val="00D47B54"/>
    <w:rsid w:val="00D50C65"/>
    <w:rsid w:val="00D50D8F"/>
    <w:rsid w:val="00D64E32"/>
    <w:rsid w:val="00D95455"/>
    <w:rsid w:val="00DB3D75"/>
    <w:rsid w:val="00DB3FC1"/>
    <w:rsid w:val="00DE25D9"/>
    <w:rsid w:val="00DF13F3"/>
    <w:rsid w:val="00DF6A3F"/>
    <w:rsid w:val="00DF6FEE"/>
    <w:rsid w:val="00E05FA6"/>
    <w:rsid w:val="00E06C00"/>
    <w:rsid w:val="00E10467"/>
    <w:rsid w:val="00E41B36"/>
    <w:rsid w:val="00E44F1D"/>
    <w:rsid w:val="00E7039C"/>
    <w:rsid w:val="00E84A7E"/>
    <w:rsid w:val="00E958D6"/>
    <w:rsid w:val="00EB2355"/>
    <w:rsid w:val="00ED75F3"/>
    <w:rsid w:val="00EE0658"/>
    <w:rsid w:val="00EE3C1A"/>
    <w:rsid w:val="00EF0E26"/>
    <w:rsid w:val="00F36DDA"/>
    <w:rsid w:val="00F460D8"/>
    <w:rsid w:val="00F67344"/>
    <w:rsid w:val="00F81C5A"/>
    <w:rsid w:val="00FA5049"/>
    <w:rsid w:val="00FB0E6E"/>
    <w:rsid w:val="00FC0D58"/>
    <w:rsid w:val="00FC3F33"/>
    <w:rsid w:val="00FF6B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A3F2"/>
  <w15:chartTrackingRefBased/>
  <w15:docId w15:val="{71F692EA-62C0-458B-9A8F-F923033C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F97"/>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864F97"/>
    <w:pPr>
      <w:keepNext/>
      <w:jc w:val="center"/>
      <w:outlineLvl w:val="0"/>
    </w:pPr>
    <w:rPr>
      <w:b/>
      <w:bCs/>
      <w:sz w:val="28"/>
    </w:rPr>
  </w:style>
  <w:style w:type="paragraph" w:styleId="Naslov2">
    <w:name w:val="heading 2"/>
    <w:basedOn w:val="Normal"/>
    <w:next w:val="Normal"/>
    <w:link w:val="Naslov2Char"/>
    <w:qFormat/>
    <w:rsid w:val="00864F97"/>
    <w:pPr>
      <w:keepNext/>
      <w:ind w:left="360"/>
      <w:jc w:val="center"/>
      <w:outlineLvl w:val="1"/>
    </w:pPr>
    <w:rPr>
      <w:b/>
      <w:bCs/>
      <w:sz w:val="28"/>
    </w:rPr>
  </w:style>
  <w:style w:type="paragraph" w:styleId="Naslov3">
    <w:name w:val="heading 3"/>
    <w:basedOn w:val="Normal"/>
    <w:next w:val="Normal"/>
    <w:link w:val="Naslov3Char"/>
    <w:qFormat/>
    <w:rsid w:val="00864F97"/>
    <w:pPr>
      <w:keepNext/>
      <w:spacing w:before="240" w:after="60"/>
      <w:outlineLvl w:val="2"/>
    </w:pPr>
    <w:rPr>
      <w:rFonts w:ascii="Arial" w:hAnsi="Arial"/>
      <w:b/>
      <w:bCs/>
      <w:sz w:val="26"/>
      <w:szCs w:val="26"/>
    </w:rPr>
  </w:style>
  <w:style w:type="paragraph" w:styleId="Naslov6">
    <w:name w:val="heading 6"/>
    <w:basedOn w:val="Normal"/>
    <w:next w:val="Normal"/>
    <w:link w:val="Naslov6Char"/>
    <w:qFormat/>
    <w:rsid w:val="00864F97"/>
    <w:pPr>
      <w:keepNext/>
      <w:outlineLvl w:val="5"/>
    </w:pPr>
    <w:rPr>
      <w:szCs w:val="20"/>
      <w:lang w:val="en-AU"/>
    </w:rPr>
  </w:style>
  <w:style w:type="paragraph" w:styleId="Naslov8">
    <w:name w:val="heading 8"/>
    <w:basedOn w:val="Normal"/>
    <w:next w:val="Normal"/>
    <w:link w:val="Naslov8Char"/>
    <w:semiHidden/>
    <w:unhideWhenUsed/>
    <w:qFormat/>
    <w:rsid w:val="00864F97"/>
    <w:pPr>
      <w:spacing w:before="240" w:after="60"/>
      <w:outlineLvl w:val="7"/>
    </w:pPr>
    <w:rPr>
      <w:rFonts w:ascii="Calibri" w:hAnsi="Calibri"/>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64F97"/>
    <w:rPr>
      <w:rFonts w:ascii="Times New Roman" w:eastAsia="Times New Roman" w:hAnsi="Times New Roman" w:cs="Times New Roman"/>
      <w:b/>
      <w:bCs/>
      <w:sz w:val="28"/>
      <w:szCs w:val="24"/>
      <w:lang w:eastAsia="hr-HR"/>
    </w:rPr>
  </w:style>
  <w:style w:type="character" w:customStyle="1" w:styleId="Naslov2Char">
    <w:name w:val="Naslov 2 Char"/>
    <w:basedOn w:val="Zadanifontodlomka"/>
    <w:link w:val="Naslov2"/>
    <w:rsid w:val="00864F97"/>
    <w:rPr>
      <w:rFonts w:ascii="Times New Roman" w:eastAsia="Times New Roman" w:hAnsi="Times New Roman" w:cs="Times New Roman"/>
      <w:b/>
      <w:bCs/>
      <w:sz w:val="28"/>
      <w:szCs w:val="24"/>
      <w:lang w:eastAsia="hr-HR"/>
    </w:rPr>
  </w:style>
  <w:style w:type="character" w:customStyle="1" w:styleId="Naslov3Char">
    <w:name w:val="Naslov 3 Char"/>
    <w:basedOn w:val="Zadanifontodlomka"/>
    <w:link w:val="Naslov3"/>
    <w:rsid w:val="00864F97"/>
    <w:rPr>
      <w:rFonts w:ascii="Arial" w:eastAsia="Times New Roman" w:hAnsi="Arial" w:cs="Times New Roman"/>
      <w:b/>
      <w:bCs/>
      <w:sz w:val="26"/>
      <w:szCs w:val="26"/>
      <w:lang w:eastAsia="hr-HR"/>
    </w:rPr>
  </w:style>
  <w:style w:type="character" w:customStyle="1" w:styleId="Naslov6Char">
    <w:name w:val="Naslov 6 Char"/>
    <w:basedOn w:val="Zadanifontodlomka"/>
    <w:link w:val="Naslov6"/>
    <w:rsid w:val="00864F97"/>
    <w:rPr>
      <w:rFonts w:ascii="Times New Roman" w:eastAsia="Times New Roman" w:hAnsi="Times New Roman" w:cs="Times New Roman"/>
      <w:sz w:val="24"/>
      <w:szCs w:val="20"/>
      <w:lang w:val="en-AU" w:eastAsia="hr-HR"/>
    </w:rPr>
  </w:style>
  <w:style w:type="character" w:customStyle="1" w:styleId="Naslov8Char">
    <w:name w:val="Naslov 8 Char"/>
    <w:basedOn w:val="Zadanifontodlomka"/>
    <w:link w:val="Naslov8"/>
    <w:semiHidden/>
    <w:rsid w:val="00864F97"/>
    <w:rPr>
      <w:rFonts w:ascii="Calibri" w:eastAsia="Times New Roman" w:hAnsi="Calibri" w:cs="Times New Roman"/>
      <w:i/>
      <w:iCs/>
      <w:sz w:val="24"/>
      <w:szCs w:val="24"/>
      <w:lang w:eastAsia="hr-HR"/>
    </w:rPr>
  </w:style>
  <w:style w:type="paragraph" w:styleId="Naslov">
    <w:name w:val="Title"/>
    <w:basedOn w:val="Normal"/>
    <w:link w:val="NaslovChar"/>
    <w:qFormat/>
    <w:rsid w:val="00864F97"/>
    <w:pPr>
      <w:jc w:val="center"/>
    </w:pPr>
    <w:rPr>
      <w:b/>
      <w:bCs/>
      <w:sz w:val="28"/>
    </w:rPr>
  </w:style>
  <w:style w:type="character" w:customStyle="1" w:styleId="NaslovChar">
    <w:name w:val="Naslov Char"/>
    <w:basedOn w:val="Zadanifontodlomka"/>
    <w:link w:val="Naslov"/>
    <w:rsid w:val="00864F97"/>
    <w:rPr>
      <w:rFonts w:ascii="Times New Roman" w:eastAsia="Times New Roman" w:hAnsi="Times New Roman" w:cs="Times New Roman"/>
      <w:b/>
      <w:bCs/>
      <w:sz w:val="28"/>
      <w:szCs w:val="24"/>
      <w:lang w:eastAsia="hr-HR"/>
    </w:rPr>
  </w:style>
  <w:style w:type="paragraph" w:styleId="Tijeloteksta">
    <w:name w:val="Body Text"/>
    <w:basedOn w:val="Normal"/>
    <w:link w:val="TijelotekstaChar"/>
    <w:rsid w:val="00864F97"/>
    <w:pPr>
      <w:jc w:val="both"/>
    </w:pPr>
    <w:rPr>
      <w:szCs w:val="20"/>
    </w:rPr>
  </w:style>
  <w:style w:type="character" w:customStyle="1" w:styleId="TijelotekstaChar">
    <w:name w:val="Tijelo teksta Char"/>
    <w:basedOn w:val="Zadanifontodlomka"/>
    <w:link w:val="Tijeloteksta"/>
    <w:rsid w:val="00864F97"/>
    <w:rPr>
      <w:rFonts w:ascii="Times New Roman" w:eastAsia="Times New Roman" w:hAnsi="Times New Roman" w:cs="Times New Roman"/>
      <w:sz w:val="24"/>
      <w:szCs w:val="20"/>
      <w:lang w:eastAsia="hr-HR"/>
    </w:rPr>
  </w:style>
  <w:style w:type="character" w:styleId="Naglaeno">
    <w:name w:val="Strong"/>
    <w:uiPriority w:val="22"/>
    <w:qFormat/>
    <w:rsid w:val="00864F97"/>
    <w:rPr>
      <w:b/>
      <w:bCs/>
    </w:rPr>
  </w:style>
  <w:style w:type="paragraph" w:customStyle="1" w:styleId="xmsonormal">
    <w:name w:val="x_msonormal"/>
    <w:basedOn w:val="Normal"/>
    <w:rsid w:val="00864F97"/>
    <w:pPr>
      <w:spacing w:before="100" w:beforeAutospacing="1" w:after="100" w:afterAutospacing="1"/>
    </w:pPr>
  </w:style>
  <w:style w:type="paragraph" w:styleId="Odlomakpopisa">
    <w:name w:val="List Paragraph"/>
    <w:basedOn w:val="Normal"/>
    <w:link w:val="OdlomakpopisaChar"/>
    <w:uiPriority w:val="34"/>
    <w:qFormat/>
    <w:rsid w:val="00864F97"/>
    <w:pPr>
      <w:ind w:left="720"/>
      <w:contextualSpacing/>
    </w:pPr>
  </w:style>
  <w:style w:type="character" w:customStyle="1" w:styleId="OdlomakpopisaChar">
    <w:name w:val="Odlomak popisa Char"/>
    <w:link w:val="Odlomakpopisa"/>
    <w:uiPriority w:val="34"/>
    <w:locked/>
    <w:rsid w:val="00864F97"/>
    <w:rPr>
      <w:rFonts w:ascii="Times New Roman" w:eastAsia="Times New Roman" w:hAnsi="Times New Roman" w:cs="Times New Roman"/>
      <w:sz w:val="24"/>
      <w:szCs w:val="24"/>
      <w:lang w:eastAsia="hr-HR"/>
    </w:rPr>
  </w:style>
  <w:style w:type="character" w:styleId="Referencakomentara">
    <w:name w:val="annotation reference"/>
    <w:basedOn w:val="Zadanifontodlomka"/>
    <w:unhideWhenUsed/>
    <w:rsid w:val="00864F97"/>
    <w:rPr>
      <w:sz w:val="16"/>
      <w:szCs w:val="16"/>
    </w:rPr>
  </w:style>
  <w:style w:type="paragraph" w:styleId="Tekstkomentara">
    <w:name w:val="annotation text"/>
    <w:basedOn w:val="Normal"/>
    <w:link w:val="TekstkomentaraChar"/>
    <w:unhideWhenUsed/>
    <w:rsid w:val="00864F97"/>
    <w:rPr>
      <w:sz w:val="20"/>
      <w:szCs w:val="20"/>
    </w:rPr>
  </w:style>
  <w:style w:type="character" w:customStyle="1" w:styleId="TekstkomentaraChar">
    <w:name w:val="Tekst komentara Char"/>
    <w:basedOn w:val="Zadanifontodlomka"/>
    <w:link w:val="Tekstkomentara"/>
    <w:rsid w:val="00864F9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nhideWhenUsed/>
    <w:rsid w:val="00864F97"/>
    <w:rPr>
      <w:b/>
      <w:bCs/>
    </w:rPr>
  </w:style>
  <w:style w:type="character" w:customStyle="1" w:styleId="PredmetkomentaraChar">
    <w:name w:val="Predmet komentara Char"/>
    <w:basedOn w:val="TekstkomentaraChar"/>
    <w:link w:val="Predmetkomentara"/>
    <w:rsid w:val="00864F9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unhideWhenUsed/>
    <w:rsid w:val="00864F97"/>
    <w:rPr>
      <w:rFonts w:ascii="Segoe UI" w:hAnsi="Segoe UI" w:cs="Segoe UI"/>
      <w:sz w:val="18"/>
      <w:szCs w:val="18"/>
    </w:rPr>
  </w:style>
  <w:style w:type="character" w:customStyle="1" w:styleId="TekstbaloniaChar">
    <w:name w:val="Tekst balončića Char"/>
    <w:basedOn w:val="Zadanifontodlomka"/>
    <w:link w:val="Tekstbalonia"/>
    <w:semiHidden/>
    <w:rsid w:val="00864F97"/>
    <w:rPr>
      <w:rFonts w:ascii="Segoe UI" w:eastAsia="Times New Roman" w:hAnsi="Segoe UI" w:cs="Segoe UI"/>
      <w:sz w:val="18"/>
      <w:szCs w:val="18"/>
      <w:lang w:eastAsia="hr-HR"/>
    </w:rPr>
  </w:style>
  <w:style w:type="paragraph" w:customStyle="1" w:styleId="xdefault">
    <w:name w:val="x_default"/>
    <w:basedOn w:val="Normal"/>
    <w:rsid w:val="00864F97"/>
    <w:pPr>
      <w:spacing w:before="100" w:beforeAutospacing="1" w:after="100" w:afterAutospacing="1"/>
    </w:pPr>
  </w:style>
  <w:style w:type="paragraph" w:styleId="StandardWeb">
    <w:name w:val="Normal (Web)"/>
    <w:basedOn w:val="Normal"/>
    <w:uiPriority w:val="99"/>
    <w:unhideWhenUsed/>
    <w:rsid w:val="00864F97"/>
    <w:pPr>
      <w:spacing w:before="100" w:beforeAutospacing="1" w:after="100" w:afterAutospacing="1"/>
    </w:pPr>
  </w:style>
  <w:style w:type="paragraph" w:customStyle="1" w:styleId="xbox473596">
    <w:name w:val="x_box473596"/>
    <w:basedOn w:val="Normal"/>
    <w:rsid w:val="00864F97"/>
    <w:pPr>
      <w:spacing w:before="100" w:beforeAutospacing="1" w:after="100" w:afterAutospacing="1"/>
    </w:pPr>
  </w:style>
  <w:style w:type="paragraph" w:customStyle="1" w:styleId="lanka">
    <w:name w:val="članka"/>
    <w:basedOn w:val="Normal"/>
    <w:rsid w:val="00864F97"/>
    <w:pPr>
      <w:spacing w:line="360" w:lineRule="auto"/>
    </w:pPr>
  </w:style>
  <w:style w:type="paragraph" w:styleId="Podnoje">
    <w:name w:val="footer"/>
    <w:basedOn w:val="Normal"/>
    <w:link w:val="PodnojeChar"/>
    <w:uiPriority w:val="99"/>
    <w:rsid w:val="00864F97"/>
    <w:pPr>
      <w:tabs>
        <w:tab w:val="center" w:pos="4536"/>
        <w:tab w:val="right" w:pos="9072"/>
      </w:tabs>
    </w:pPr>
  </w:style>
  <w:style w:type="character" w:customStyle="1" w:styleId="PodnojeChar">
    <w:name w:val="Podnožje Char"/>
    <w:basedOn w:val="Zadanifontodlomka"/>
    <w:link w:val="Podnoje"/>
    <w:uiPriority w:val="99"/>
    <w:rsid w:val="00864F97"/>
    <w:rPr>
      <w:rFonts w:ascii="Times New Roman" w:eastAsia="Times New Roman" w:hAnsi="Times New Roman" w:cs="Times New Roman"/>
      <w:sz w:val="24"/>
      <w:szCs w:val="24"/>
      <w:lang w:eastAsia="hr-HR"/>
    </w:rPr>
  </w:style>
  <w:style w:type="character" w:styleId="Brojstranice">
    <w:name w:val="page number"/>
    <w:basedOn w:val="Zadanifontodlomka"/>
    <w:rsid w:val="00864F97"/>
  </w:style>
  <w:style w:type="paragraph" w:styleId="Kartadokumenta">
    <w:name w:val="Document Map"/>
    <w:basedOn w:val="Normal"/>
    <w:link w:val="KartadokumentaChar"/>
    <w:semiHidden/>
    <w:rsid w:val="00864F97"/>
    <w:pPr>
      <w:shd w:val="clear" w:color="auto" w:fill="000080"/>
    </w:pPr>
    <w:rPr>
      <w:rFonts w:ascii="Tahoma" w:hAnsi="Tahoma" w:cs="Tahoma"/>
      <w:sz w:val="20"/>
      <w:szCs w:val="20"/>
    </w:rPr>
  </w:style>
  <w:style w:type="character" w:customStyle="1" w:styleId="KartadokumentaChar">
    <w:name w:val="Karta dokumenta Char"/>
    <w:basedOn w:val="Zadanifontodlomka"/>
    <w:link w:val="Kartadokumenta"/>
    <w:semiHidden/>
    <w:rsid w:val="00864F97"/>
    <w:rPr>
      <w:rFonts w:ascii="Tahoma" w:eastAsia="Times New Roman" w:hAnsi="Tahoma" w:cs="Tahoma"/>
      <w:sz w:val="20"/>
      <w:szCs w:val="20"/>
      <w:shd w:val="clear" w:color="auto" w:fill="000080"/>
      <w:lang w:eastAsia="hr-HR"/>
    </w:rPr>
  </w:style>
  <w:style w:type="paragraph" w:customStyle="1" w:styleId="Tekstlanka">
    <w:name w:val="Tekst članka"/>
    <w:basedOn w:val="Normal"/>
    <w:rsid w:val="00864F97"/>
    <w:pPr>
      <w:widowControl w:val="0"/>
      <w:adjustRightInd w:val="0"/>
      <w:spacing w:line="360" w:lineRule="auto"/>
      <w:jc w:val="both"/>
      <w:textAlignment w:val="baseline"/>
    </w:pPr>
  </w:style>
  <w:style w:type="table" w:styleId="Reetkatablice">
    <w:name w:val="Table Grid"/>
    <w:basedOn w:val="Obinatablica"/>
    <w:uiPriority w:val="59"/>
    <w:rsid w:val="00864F9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864F97"/>
    <w:pPr>
      <w:spacing w:after="0" w:line="240" w:lineRule="auto"/>
    </w:pPr>
    <w:rPr>
      <w:rFonts w:ascii="Times New Roman" w:eastAsia="Times New Roman" w:hAnsi="Times New Roman" w:cs="Times New Roman"/>
      <w:sz w:val="24"/>
      <w:szCs w:val="24"/>
      <w:lang w:eastAsia="hr-HR"/>
    </w:rPr>
  </w:style>
  <w:style w:type="paragraph" w:customStyle="1" w:styleId="Default">
    <w:name w:val="Default"/>
    <w:rsid w:val="00864F97"/>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Zaglavlje">
    <w:name w:val="header"/>
    <w:basedOn w:val="Normal"/>
    <w:link w:val="ZaglavljeChar"/>
    <w:rsid w:val="00864F97"/>
    <w:pPr>
      <w:tabs>
        <w:tab w:val="center" w:pos="4536"/>
        <w:tab w:val="right" w:pos="9072"/>
      </w:tabs>
    </w:pPr>
  </w:style>
  <w:style w:type="character" w:customStyle="1" w:styleId="ZaglavljeChar">
    <w:name w:val="Zaglavlje Char"/>
    <w:basedOn w:val="Zadanifontodlomka"/>
    <w:link w:val="Zaglavlje"/>
    <w:rsid w:val="00864F97"/>
    <w:rPr>
      <w:rFonts w:ascii="Times New Roman" w:eastAsia="Times New Roman" w:hAnsi="Times New Roman" w:cs="Times New Roman"/>
      <w:sz w:val="24"/>
      <w:szCs w:val="24"/>
      <w:lang w:eastAsia="hr-HR"/>
    </w:rPr>
  </w:style>
  <w:style w:type="paragraph" w:styleId="Tekstfusnote">
    <w:name w:val="footnote text"/>
    <w:aliases w:val="fn,Fußnote,Footnote Text Char Char Char,Footnote Text Char Char,Fuss nota,Tekst fusnote moj,Tekst fusnote moj Char Char,Fus nota casopis,Fus nota casopis Char,Footnote Text2,Fus nota casopis Char1 Char Char Char Char Char Char"/>
    <w:basedOn w:val="Normal"/>
    <w:link w:val="TekstfusnoteChar"/>
    <w:rsid w:val="00864F97"/>
    <w:rPr>
      <w:sz w:val="20"/>
      <w:szCs w:val="20"/>
    </w:rPr>
  </w:style>
  <w:style w:type="character" w:customStyle="1" w:styleId="TekstfusnoteChar">
    <w:name w:val="Tekst fusnote Char"/>
    <w:aliases w:val="fn Char,Fußnote Char,Footnote Text Char Char Char Char,Footnote Text Char Char Char1,Fuss nota Char,Tekst fusnote moj Char,Tekst fusnote moj Char Char Char,Fus nota casopis Char1,Fus nota casopis Char Char,Footnote Text2 Char"/>
    <w:basedOn w:val="Zadanifontodlomka"/>
    <w:link w:val="Tekstfusnote"/>
    <w:rsid w:val="00864F97"/>
    <w:rPr>
      <w:rFonts w:ascii="Times New Roman" w:eastAsia="Times New Roman" w:hAnsi="Times New Roman" w:cs="Times New Roman"/>
      <w:sz w:val="20"/>
      <w:szCs w:val="20"/>
      <w:lang w:eastAsia="hr-HR"/>
    </w:rPr>
  </w:style>
  <w:style w:type="paragraph" w:customStyle="1" w:styleId="t-9-8">
    <w:name w:val="t-9-8"/>
    <w:basedOn w:val="Normal"/>
    <w:rsid w:val="00864F97"/>
    <w:pPr>
      <w:spacing w:before="100" w:beforeAutospacing="1" w:after="100" w:afterAutospacing="1"/>
    </w:pPr>
  </w:style>
  <w:style w:type="numbering" w:customStyle="1" w:styleId="Bezpopisa1">
    <w:name w:val="Bez popisa1"/>
    <w:next w:val="Bezpopisa"/>
    <w:uiPriority w:val="99"/>
    <w:semiHidden/>
    <w:unhideWhenUsed/>
    <w:rsid w:val="00864F97"/>
  </w:style>
  <w:style w:type="table" w:customStyle="1" w:styleId="Reetkatablice1">
    <w:name w:val="Rešetka tablice1"/>
    <w:basedOn w:val="Obinatablica"/>
    <w:next w:val="Reetkatablice"/>
    <w:uiPriority w:val="59"/>
    <w:rsid w:val="00864F9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864F97"/>
    <w:rPr>
      <w:i/>
      <w:iCs/>
    </w:rPr>
  </w:style>
  <w:style w:type="character" w:styleId="Hiperveza">
    <w:name w:val="Hyperlink"/>
    <w:basedOn w:val="Zadanifontodlomka"/>
    <w:uiPriority w:val="99"/>
    <w:semiHidden/>
    <w:unhideWhenUsed/>
    <w:rsid w:val="00864F97"/>
    <w:rPr>
      <w:color w:val="0000FF"/>
      <w:u w:val="single"/>
    </w:rPr>
  </w:style>
  <w:style w:type="numbering" w:customStyle="1" w:styleId="Bezpopisa2">
    <w:name w:val="Bez popisa2"/>
    <w:next w:val="Bezpopisa"/>
    <w:uiPriority w:val="99"/>
    <w:semiHidden/>
    <w:unhideWhenUsed/>
    <w:rsid w:val="001B4284"/>
  </w:style>
  <w:style w:type="table" w:customStyle="1" w:styleId="Reetkatablice2">
    <w:name w:val="Rešetka tablice2"/>
    <w:basedOn w:val="Obinatablica"/>
    <w:next w:val="Reetkatablice"/>
    <w:uiPriority w:val="59"/>
    <w:rsid w:val="001B428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1B4284"/>
  </w:style>
  <w:style w:type="table" w:customStyle="1" w:styleId="Reetkatablice11">
    <w:name w:val="Rešetka tablice11"/>
    <w:basedOn w:val="Obinatablica"/>
    <w:next w:val="Reetkatablice"/>
    <w:uiPriority w:val="59"/>
    <w:rsid w:val="001B428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783321">
      <w:bodyDiv w:val="1"/>
      <w:marLeft w:val="0"/>
      <w:marRight w:val="0"/>
      <w:marTop w:val="0"/>
      <w:marBottom w:val="0"/>
      <w:divBdr>
        <w:top w:val="none" w:sz="0" w:space="0" w:color="auto"/>
        <w:left w:val="none" w:sz="0" w:space="0" w:color="auto"/>
        <w:bottom w:val="none" w:sz="0" w:space="0" w:color="auto"/>
        <w:right w:val="none" w:sz="0" w:space="0" w:color="auto"/>
      </w:divBdr>
    </w:div>
    <w:div w:id="361397788">
      <w:bodyDiv w:val="1"/>
      <w:marLeft w:val="0"/>
      <w:marRight w:val="0"/>
      <w:marTop w:val="0"/>
      <w:marBottom w:val="0"/>
      <w:divBdr>
        <w:top w:val="none" w:sz="0" w:space="0" w:color="auto"/>
        <w:left w:val="none" w:sz="0" w:space="0" w:color="auto"/>
        <w:bottom w:val="none" w:sz="0" w:space="0" w:color="auto"/>
        <w:right w:val="none" w:sz="0" w:space="0" w:color="auto"/>
      </w:divBdr>
      <w:divsChild>
        <w:div w:id="233709778">
          <w:marLeft w:val="0"/>
          <w:marRight w:val="0"/>
          <w:marTop w:val="0"/>
          <w:marBottom w:val="0"/>
          <w:divBdr>
            <w:top w:val="none" w:sz="0" w:space="0" w:color="auto"/>
            <w:left w:val="none" w:sz="0" w:space="0" w:color="auto"/>
            <w:bottom w:val="none" w:sz="0" w:space="0" w:color="auto"/>
            <w:right w:val="none" w:sz="0" w:space="0" w:color="auto"/>
          </w:divBdr>
        </w:div>
        <w:div w:id="356547911">
          <w:marLeft w:val="0"/>
          <w:marRight w:val="0"/>
          <w:marTop w:val="0"/>
          <w:marBottom w:val="0"/>
          <w:divBdr>
            <w:top w:val="none" w:sz="0" w:space="0" w:color="auto"/>
            <w:left w:val="none" w:sz="0" w:space="0" w:color="auto"/>
            <w:bottom w:val="none" w:sz="0" w:space="0" w:color="auto"/>
            <w:right w:val="none" w:sz="0" w:space="0" w:color="auto"/>
          </w:divBdr>
        </w:div>
        <w:div w:id="595670677">
          <w:marLeft w:val="0"/>
          <w:marRight w:val="0"/>
          <w:marTop w:val="0"/>
          <w:marBottom w:val="0"/>
          <w:divBdr>
            <w:top w:val="none" w:sz="0" w:space="0" w:color="auto"/>
            <w:left w:val="none" w:sz="0" w:space="0" w:color="auto"/>
            <w:bottom w:val="none" w:sz="0" w:space="0" w:color="auto"/>
            <w:right w:val="none" w:sz="0" w:space="0" w:color="auto"/>
          </w:divBdr>
        </w:div>
        <w:div w:id="978412319">
          <w:marLeft w:val="0"/>
          <w:marRight w:val="0"/>
          <w:marTop w:val="0"/>
          <w:marBottom w:val="0"/>
          <w:divBdr>
            <w:top w:val="none" w:sz="0" w:space="0" w:color="auto"/>
            <w:left w:val="none" w:sz="0" w:space="0" w:color="auto"/>
            <w:bottom w:val="none" w:sz="0" w:space="0" w:color="auto"/>
            <w:right w:val="none" w:sz="0" w:space="0" w:color="auto"/>
          </w:divBdr>
        </w:div>
        <w:div w:id="1196457633">
          <w:marLeft w:val="0"/>
          <w:marRight w:val="0"/>
          <w:marTop w:val="0"/>
          <w:marBottom w:val="0"/>
          <w:divBdr>
            <w:top w:val="none" w:sz="0" w:space="0" w:color="auto"/>
            <w:left w:val="none" w:sz="0" w:space="0" w:color="auto"/>
            <w:bottom w:val="none" w:sz="0" w:space="0" w:color="auto"/>
            <w:right w:val="none" w:sz="0" w:space="0" w:color="auto"/>
          </w:divBdr>
        </w:div>
      </w:divsChild>
    </w:div>
    <w:div w:id="362826198">
      <w:bodyDiv w:val="1"/>
      <w:marLeft w:val="0"/>
      <w:marRight w:val="0"/>
      <w:marTop w:val="0"/>
      <w:marBottom w:val="0"/>
      <w:divBdr>
        <w:top w:val="none" w:sz="0" w:space="0" w:color="auto"/>
        <w:left w:val="none" w:sz="0" w:space="0" w:color="auto"/>
        <w:bottom w:val="none" w:sz="0" w:space="0" w:color="auto"/>
        <w:right w:val="none" w:sz="0" w:space="0" w:color="auto"/>
      </w:divBdr>
    </w:div>
    <w:div w:id="492142194">
      <w:bodyDiv w:val="1"/>
      <w:marLeft w:val="0"/>
      <w:marRight w:val="0"/>
      <w:marTop w:val="0"/>
      <w:marBottom w:val="0"/>
      <w:divBdr>
        <w:top w:val="none" w:sz="0" w:space="0" w:color="auto"/>
        <w:left w:val="none" w:sz="0" w:space="0" w:color="auto"/>
        <w:bottom w:val="none" w:sz="0" w:space="0" w:color="auto"/>
        <w:right w:val="none" w:sz="0" w:space="0" w:color="auto"/>
      </w:divBdr>
    </w:div>
    <w:div w:id="960066883">
      <w:bodyDiv w:val="1"/>
      <w:marLeft w:val="0"/>
      <w:marRight w:val="0"/>
      <w:marTop w:val="0"/>
      <w:marBottom w:val="0"/>
      <w:divBdr>
        <w:top w:val="none" w:sz="0" w:space="0" w:color="auto"/>
        <w:left w:val="none" w:sz="0" w:space="0" w:color="auto"/>
        <w:bottom w:val="none" w:sz="0" w:space="0" w:color="auto"/>
        <w:right w:val="none" w:sz="0" w:space="0" w:color="auto"/>
      </w:divBdr>
    </w:div>
    <w:div w:id="1529414703">
      <w:bodyDiv w:val="1"/>
      <w:marLeft w:val="0"/>
      <w:marRight w:val="0"/>
      <w:marTop w:val="0"/>
      <w:marBottom w:val="0"/>
      <w:divBdr>
        <w:top w:val="none" w:sz="0" w:space="0" w:color="auto"/>
        <w:left w:val="none" w:sz="0" w:space="0" w:color="auto"/>
        <w:bottom w:val="none" w:sz="0" w:space="0" w:color="auto"/>
        <w:right w:val="none" w:sz="0" w:space="0" w:color="auto"/>
      </w:divBdr>
    </w:div>
    <w:div w:id="170999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B3C96-DB1B-48FF-85A9-649AD6ED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3316</TotalTime>
  <Pages>50</Pages>
  <Words>22054</Words>
  <Characters>125708</Characters>
  <Application>Microsoft Office Word</Application>
  <DocSecurity>0</DocSecurity>
  <Lines>1047</Lines>
  <Paragraphs>294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Nesterović</dc:creator>
  <cp:keywords/>
  <dc:description/>
  <cp:lastModifiedBy>Martina Štefković</cp:lastModifiedBy>
  <cp:revision>33</cp:revision>
  <cp:lastPrinted>2025-02-28T18:05:00Z</cp:lastPrinted>
  <dcterms:created xsi:type="dcterms:W3CDTF">2025-02-22T13:09:00Z</dcterms:created>
  <dcterms:modified xsi:type="dcterms:W3CDTF">2025-03-31T06:52:00Z</dcterms:modified>
</cp:coreProperties>
</file>